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120"/>
        <w:jc w:val="distribute"/>
        <w:rPr>
          <w:rFonts w:hint="default" w:ascii="Times New Roman" w:hAnsi="Times New Roman" w:eastAsia="方正小标宋简体" w:cs="Times New Roman"/>
          <w:b/>
          <w:color w:val="FF0000"/>
          <w:spacing w:val="-8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color w:val="FF0000"/>
          <w:spacing w:val="-8"/>
          <w:sz w:val="52"/>
          <w:szCs w:val="52"/>
        </w:rPr>
        <w:t>柳州市行政审批局文件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FF0000"/>
          <w:sz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FF0000"/>
          <w:sz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428625</wp:posOffset>
                </wp:positionV>
                <wp:extent cx="5575300" cy="1270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300" cy="1270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pt;margin-top:33.75pt;height:1pt;width:439pt;z-index:251657216;mso-width-relative:page;mso-height-relative:page;" filled="f" stroked="t" coordsize="21600,21600" o:gfxdata="UEsDBAoAAAAAAIdO4kAAAAAAAAAAAAAAAAAEAAAAZHJzL1BLAwQUAAAACACHTuJAFFvwftUAAAAH&#10;AQAADwAAAGRycy9kb3ducmV2LnhtbE2PzU7DMBCE70i8g7VI3KiTioQQ4vQAAgluFAri5sabOMJe&#10;R7H7w9uznMpxZlYz3zaro3dij3McAynIFxkIpC6YkQYF72+PVxWImDQZ7QKhgh+MsGrPzxpdm3Cg&#10;V9yv0yC4hGKtFdiUplrK2Fn0Oi7ChMRZH2avE8t5kGbWBy73Ti6zrJRej8QLVk94b7H7Xu+8gucP&#10;3JjN18tDEZzJ+8+nMva2VOryIs/uQCQ8ptMx/OEzOrTMtA07MlE4Bdf8SVJQ3hQgOK6qJRtbNm4L&#10;kG0j//O3v1BLAwQUAAAACACHTuJAxHGDC/UBAADeAwAADgAAAGRycy9lMm9Eb2MueG1srVNLjhMx&#10;EN0jcQfLe9KdhjColc4sEsJmgEgzHKDiT7eFf7KddHIWrsGKDceZa1B2PjCwQQgvLLv86lXVq/L8&#10;9mA02YsQlbMdnU5qSoRljivbd/TTw/rFG0piAstBOys6ehSR3i6eP5uPvhWNG5zmIhAksbEdfUeH&#10;lHxbVZENwkCcOC8sPkoXDCS8hr7iAUZkN7pq6vp1NbrAfXBMxIjW1emRLgq/lIKlj1JGkYjuKOaW&#10;yh7Kvs17tZhD2wfwg2LnNOAfsjCgLAa9Uq0gAdkF9QeVUSy46GSaMGcqJ6ViotSA1Uzr36q5H8CL&#10;UguKE/1Vpvj/aNmH/SYQxbF3lFgw2KLHL18fv30nTdZm9LFFyNJuQq6OHey9v3PscyTWLQewvSg5&#10;Phw9Ok6zR/XEJV+ixwjb8b3jiIFdckWogwwmU6IE5FD6cbz2QxwSYWiczW5mL2tsG8O3aXODxxwB&#10;2ouzDzG9E86QfOioVjbLBS3s72I6QS+QbNaWjB1tZq8KJ+C4SQ0J6Y1HAaLti3N0WvG10jq7xNBv&#10;lzqQPeAArdc1rnMOT2A5ygricMKVpwyDNrid5eU0COBvLSepaGXxN9CcjRGcEi3w8+RTQSZQ+m+Q&#10;KIS2OYgog34u+SL5qXlbx4+bkKXIdhyiot954POU/novqJ/fcvE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FvwftUAAAAHAQAADwAAAAAAAAABACAAAAAiAAAAZHJzL2Rvd25yZXYueG1sUEsBAhQA&#10;FAAAAAgAh07iQMRxgwv1AQAA3gMAAA4AAAAAAAAAAQAgAAAAJAEAAGRycy9lMm9Eb2MueG1sUEsF&#10;BgAAAAAGAAYAWQEAAIs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柳审批字〔2017〕</w:t>
      </w:r>
      <w:r>
        <w:rPr>
          <w:rFonts w:hint="eastAsia" w:ascii="Times New Roman" w:hAnsi="Times New Roman" w:eastAsia="仿宋_GB2312" w:cs="Times New Roman"/>
          <w:spacing w:val="16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柳州市行政审批局责任追究制度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  <w:lang w:eastAsia="zh-CN"/>
        </w:rPr>
        <w:t>（试行）》的通知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eastAsia="zh-CN"/>
        </w:rPr>
        <w:t>市行政审批局各科室、市行政审批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eastAsia="zh-CN"/>
        </w:rPr>
        <w:t>服务中心、市公共资源交易服务中心、各进驻政务服务中心部门窗口：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eastAsia="zh-CN"/>
        </w:rPr>
        <w:t>现将《柳州市行政审批局责任追究制度（试行）》印发给大家，请认真遵照执行。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                           柳州市行政审批局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                           2017年12月14日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</w:rPr>
        <w:t>柳州市行政审批局责任追究制度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</w:rPr>
        <w:t>(试行)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shd w:val="clear" w:color="auto" w:fill="FFFFFF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第一条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 xml:space="preserve">  为强化责任意识，保证政令畅通，根据《柳州市行政机关责任追究制度》和有关法律、法规、规定，制定本实施细则。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  <w:shd w:val="clear" w:color="FFFFFF" w:fill="D9D9D9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第二条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 xml:space="preserve">  责任追究制度是指对柳州市行政审批局(含所属二机构)工作人员违反首问负责制度、限时办结制度，不履行或者不正确履行职责，以致影响执行力和公信力，贻误行政管理工作或者损害行政管理相对人（以下称申请人）合法权益等行为予以责任追究的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第三条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 xml:space="preserve">  给予工作人员责任追究，应当坚持公正、公平和教育与惩处相结合的原则，应当与违纪行为的性质、情节、危害程度相适应。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第四条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 xml:space="preserve">  工作人员涉嫌违法的，应当移送司法机关依法追究刑事责任。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第五条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 xml:space="preserve">  本制度责任追究的种类为：批评教育、通报批评、纪律处分。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第六条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 xml:space="preserve">  对局中层干部及局二层机构领导班子成员的批评教育，由局分管领导或局长实施；对工作人员的批评教育，由科室负责人或分管领导实施；通报批评、纪律处分由局党组决定实施。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第七条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 xml:space="preserve">  有下列情形的，根据情节及影响，予以相应的追责。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（一）有迟到、早退行为的，予以批评教育；当月迟到、早退行为达到或超过3次的，予以通报批评。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（二）有旷工1天行为的，予以通报批评；有严重旷工行为的，依照相关法律法规处理。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（三）无故缺席会议、学习、单位组织活动的，予以批评教育。一年内2次以上无故缺席会议、学习、单位组织活动的，予以通报批评。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（四）违反请假制度的，予以批评教育；2次或2次以上违反请假制度的，予以通报批评。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（五）窗口工作人员不按规定公示经办人信息的，予以批评教育。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（六）工作人员脱岗（无故脱离窗口岗位15分钟以上）的，予以批评教育，2次以上脱岗的，予以通报批评。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（七）工作人员着装不规范的，工作服与便服混穿的，予以批评教育。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（八）办公环境脏乱差的，予以批评教育。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（九）在禁烟区内吸烟的，予以批评教育。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（十）上班时间玩手机的，予以批评教育；被媒体、网络曝光或上级通报的，视负面影响情况予以通报批评或纪律处分。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（十一）上班时间在电脑上玩游戏、看视频、炒股、购物的，予以通报批评；被媒体、网络曝光或上级通报的，视负面影响情况予以相应的纪律处分。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（十二）在解答群众咨询时未按规定使用文明用语或说文明禁语，予以批评教育；被媒体、网络曝光或上级通报的，视负面影响情况予以通报批评或纪律处分。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（十三）与群众语言冲突、相互吵架的，予以通报批评；被媒体、网络曝光或上级通报的，视负面影响情况予以相应的纪律处分。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（十四）未落实首问负责制、一次性告知制度，造成群众多次往返的，视情节轻重予以批评教育、通报批评或纪律处分。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（十五）未在规定的时限内办结申请事项的，予以通报批评或纪律处分。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（十六）对受理事项不按规定进行登记，视情节轻重予以批评教育或通报批评。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（十七）对受理事项不出具应当出具的书面回执的，视情节轻重予以批评教育或通报批评。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（十八）因工作责任心不强，实际办件未超时，但造成系统超时的，视情节轻重予以通报批评或纪律处分。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（十九）擅自设置审批条件，或者仍在执行已公布取消的行政审批、行政事业项目的，予以通报批评。违反操作流程审批，造成不良后果，予以通报批评，情节严重的予以纪律处分，移送司法机关追究法律责任。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（二十）接受申请人吃请安排或者接受赠送礼品的，予以通报批评，情节严重的予以纪律处分。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（二十一）向申请人提出利益要求，或者对申请事项设卡刁难的。予以通报批评，情节严重的予以纪律处分。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（二十二）接受申请人金钱贿赂或者其它方式的贿赂的，予以纪律处分；情节严重的，移送司法机关追究法律责任。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（二十三）有违反八项规定的，视情节予以通报批评或纪律处分。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（二十四）有违反财务纪律的，予以通报批评，情节严重的，移送司法机关追究法律责任。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（二十五）有违反保密制度，未造成泄密的，予以通报批评；造成泄密的，移送司法机关追究法律责任。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（二十六）工作责任心不强，工作出现差、错、漏，被上级通报或造成不良影响的，视情节轻重予以批评教育、通报批评或纪律处分。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第八条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 xml:space="preserve">  责任追究程序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（一）效能督查科对所发生的问题进行调查核实，将调查情况及处理意见向党组进行汇报。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（二）应注意听取有关科室和当事人的意见和申辩。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（三）属于行政审批局处理范围的事件，根据事实情节和造成的后果，实事求是地作出问责处理；不属于行政审批局处理范围的事件，移交司法、监察机关处理。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第九条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 xml:space="preserve">  本细则由行政审批局负责解释。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Style w:val="27"/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</w:rPr>
        <w:t>第十条</w:t>
      </w:r>
      <w:r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  <w:t>　本细则自公布之日起施行。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u w:val="single"/>
        </w:rPr>
        <w:t>政府信息公开选项：主动公开</w:t>
      </w:r>
      <w:r>
        <w:rPr>
          <w:rFonts w:hint="eastAsia" w:eastAsia="楷体_GB2312" w:cs="Times New Roman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   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柳州市行政审批局办公室                     2017年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日印发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right"/>
        <w:textAlignment w:val="auto"/>
        <w:outlineLvl w:val="9"/>
        <w:rPr>
          <w:rStyle w:val="27"/>
          <w:rFonts w:hint="default" w:ascii="Times New Roman" w:hAnsi="Times New Roman" w:eastAsia="仿宋_GB2312" w:cs="Times New Roman"/>
          <w:b w:val="0"/>
          <w:bCs w:val="0"/>
          <w:i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none"/>
          <w:lang w:val="en-US" w:eastAsia="zh-CN"/>
        </w:rPr>
        <w:t>（网络传输）</w:t>
      </w:r>
    </w:p>
    <w:sectPr>
      <w:footerReference r:id="rId3" w:type="default"/>
      <w:pgSz w:w="11906" w:h="16838"/>
      <w:pgMar w:top="2098" w:right="141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zarL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l23KTGL4&#10;sE3IppDMFY6wp8I4uiLztGZ5N/72S9bLz7D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z&#10;zNqs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5"/>
    <w:rsid w:val="00075BAE"/>
    <w:rsid w:val="000A3B91"/>
    <w:rsid w:val="000C34DE"/>
    <w:rsid w:val="000D3451"/>
    <w:rsid w:val="000D40C9"/>
    <w:rsid w:val="00112754"/>
    <w:rsid w:val="001A5779"/>
    <w:rsid w:val="001D5916"/>
    <w:rsid w:val="002017C2"/>
    <w:rsid w:val="00264568"/>
    <w:rsid w:val="00282A13"/>
    <w:rsid w:val="002D37AE"/>
    <w:rsid w:val="00327898"/>
    <w:rsid w:val="00376C83"/>
    <w:rsid w:val="00385991"/>
    <w:rsid w:val="003D675E"/>
    <w:rsid w:val="003E07FA"/>
    <w:rsid w:val="003F3391"/>
    <w:rsid w:val="00455BB1"/>
    <w:rsid w:val="0046408A"/>
    <w:rsid w:val="004A0B1B"/>
    <w:rsid w:val="004A22D6"/>
    <w:rsid w:val="004A5E35"/>
    <w:rsid w:val="004C1499"/>
    <w:rsid w:val="0050247B"/>
    <w:rsid w:val="0054739B"/>
    <w:rsid w:val="00583504"/>
    <w:rsid w:val="005D00B7"/>
    <w:rsid w:val="00602A14"/>
    <w:rsid w:val="00622CEA"/>
    <w:rsid w:val="00656295"/>
    <w:rsid w:val="006744D2"/>
    <w:rsid w:val="00690485"/>
    <w:rsid w:val="006B16A7"/>
    <w:rsid w:val="006C0D0B"/>
    <w:rsid w:val="00707786"/>
    <w:rsid w:val="00721F67"/>
    <w:rsid w:val="007D11DB"/>
    <w:rsid w:val="007D1815"/>
    <w:rsid w:val="00870E81"/>
    <w:rsid w:val="00893134"/>
    <w:rsid w:val="008E3A7F"/>
    <w:rsid w:val="00926842"/>
    <w:rsid w:val="00970994"/>
    <w:rsid w:val="00992DC1"/>
    <w:rsid w:val="009F1729"/>
    <w:rsid w:val="00A85E1E"/>
    <w:rsid w:val="00A947C1"/>
    <w:rsid w:val="00AE72BD"/>
    <w:rsid w:val="00B03061"/>
    <w:rsid w:val="00B23FE2"/>
    <w:rsid w:val="00B25F40"/>
    <w:rsid w:val="00B363F5"/>
    <w:rsid w:val="00B37225"/>
    <w:rsid w:val="00B61FD3"/>
    <w:rsid w:val="00B834D1"/>
    <w:rsid w:val="00C25C7F"/>
    <w:rsid w:val="00C86CF8"/>
    <w:rsid w:val="00CA43F9"/>
    <w:rsid w:val="00CE2129"/>
    <w:rsid w:val="00CF0D79"/>
    <w:rsid w:val="00CF1BEF"/>
    <w:rsid w:val="00CF304F"/>
    <w:rsid w:val="00CF5D1E"/>
    <w:rsid w:val="00D122D3"/>
    <w:rsid w:val="00D2360A"/>
    <w:rsid w:val="00DB25CE"/>
    <w:rsid w:val="00DD3634"/>
    <w:rsid w:val="00E13FA4"/>
    <w:rsid w:val="00EA1F9E"/>
    <w:rsid w:val="00ED2A2D"/>
    <w:rsid w:val="00ED5F58"/>
    <w:rsid w:val="00EE5E37"/>
    <w:rsid w:val="00FB7958"/>
    <w:rsid w:val="00FC7F52"/>
    <w:rsid w:val="0775300F"/>
    <w:rsid w:val="0A750274"/>
    <w:rsid w:val="0C7557BB"/>
    <w:rsid w:val="10614AAC"/>
    <w:rsid w:val="115E7E7F"/>
    <w:rsid w:val="17867304"/>
    <w:rsid w:val="17D36310"/>
    <w:rsid w:val="2E4F3974"/>
    <w:rsid w:val="37A438EF"/>
    <w:rsid w:val="42091CD5"/>
    <w:rsid w:val="43503963"/>
    <w:rsid w:val="4E4C150B"/>
    <w:rsid w:val="4FAC13C2"/>
    <w:rsid w:val="60BE75C6"/>
    <w:rsid w:val="652123B1"/>
    <w:rsid w:val="675F263B"/>
    <w:rsid w:val="79764640"/>
    <w:rsid w:val="7C675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0" w:semiHidden="0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TML Typewriter"/>
    <w:basedOn w:val="12"/>
    <w:uiPriority w:val="0"/>
    <w:rPr>
      <w:rFonts w:hint="eastAsia" w:ascii="黑体" w:hAnsi="Courier New" w:eastAsia="黑体" w:cs="Courier New"/>
      <w:sz w:val="24"/>
      <w:szCs w:val="24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apple-converted-space"/>
    <w:basedOn w:val="12"/>
    <w:qFormat/>
    <w:uiPriority w:val="0"/>
  </w:style>
  <w:style w:type="character" w:customStyle="1" w:styleId="19">
    <w:name w:val="share"/>
    <w:basedOn w:val="12"/>
    <w:uiPriority w:val="0"/>
  </w:style>
  <w:style w:type="character" w:customStyle="1" w:styleId="20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customStyle="1" w:styleId="21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标题 2 Char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标题 4 Char"/>
    <w:basedOn w:val="12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Char"/>
    <w:basedOn w:val="12"/>
    <w:link w:val="6"/>
    <w:uiPriority w:val="9"/>
    <w:rPr>
      <w:b/>
      <w:bCs/>
      <w:sz w:val="28"/>
      <w:szCs w:val="28"/>
    </w:rPr>
  </w:style>
  <w:style w:type="character" w:customStyle="1" w:styleId="26">
    <w:name w:val="标题 6 Char"/>
    <w:basedOn w:val="12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7">
    <w:name w:val="不明显强调1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8">
    <w:name w:val="页眉 Char"/>
    <w:basedOn w:val="12"/>
    <w:link w:val="10"/>
    <w:semiHidden/>
    <w:qFormat/>
    <w:uiPriority w:val="99"/>
    <w:rPr>
      <w:sz w:val="18"/>
      <w:szCs w:val="18"/>
    </w:rPr>
  </w:style>
  <w:style w:type="character" w:customStyle="1" w:styleId="29">
    <w:name w:val="页脚 Char"/>
    <w:basedOn w:val="12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277</Words>
  <Characters>1582</Characters>
  <Lines>13</Lines>
  <Paragraphs>3</Paragraphs>
  <ScaleCrop>false</ScaleCrop>
  <LinksUpToDate>false</LinksUpToDate>
  <CharactersWithSpaces>1856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2017-11-14T08:04:00Z</dcterms:created>
  <dc:creator>Administrator</dc:creator>
  <cp:lastModifiedBy>何凯莉</cp:lastModifiedBy>
  <cp:lastPrinted>2017-09-28T06:21:00Z</cp:lastPrinted>
  <dcterms:modified xsi:type="dcterms:W3CDTF">2017-12-14T04:07:59Z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