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DB99C">
      <w:pPr>
        <w:pStyle w:val="110"/>
        <w:rPr>
          <w:rFonts w:ascii="Times New Roman" w:cs="Times New Roman"/>
          <w:color w:val="auto"/>
          <w:sz w:val="36"/>
          <w:szCs w:val="36"/>
          <w:highlight w:val="none"/>
        </w:rPr>
      </w:pPr>
    </w:p>
    <w:p w14:paraId="50867F05">
      <w:pPr>
        <w:pStyle w:val="110"/>
        <w:rPr>
          <w:rFonts w:ascii="Times New Roman" w:cs="Times New Roman"/>
          <w:color w:val="auto"/>
          <w:sz w:val="36"/>
          <w:szCs w:val="36"/>
          <w:highlight w:val="none"/>
        </w:rPr>
      </w:pPr>
    </w:p>
    <w:p w14:paraId="52C3CBA4">
      <w:pPr>
        <w:pStyle w:val="110"/>
        <w:rPr>
          <w:rFonts w:ascii="Times New Roman" w:cs="Times New Roman"/>
          <w:color w:val="auto"/>
          <w:sz w:val="36"/>
          <w:szCs w:val="36"/>
          <w:highlight w:val="none"/>
        </w:rPr>
      </w:pPr>
    </w:p>
    <w:p w14:paraId="3C6830D7">
      <w:pPr>
        <w:pStyle w:val="110"/>
        <w:rPr>
          <w:rFonts w:ascii="Times New Roman" w:cs="Times New Roman"/>
          <w:color w:val="auto"/>
          <w:sz w:val="36"/>
          <w:szCs w:val="36"/>
          <w:highlight w:val="none"/>
        </w:rPr>
      </w:pPr>
    </w:p>
    <w:p w14:paraId="04266EEB">
      <w:pPr>
        <w:adjustRightInd w:val="0"/>
        <w:snapToGrid w:val="0"/>
        <w:jc w:val="center"/>
        <w:outlineLvl w:val="0"/>
        <w:rPr>
          <w:rFonts w:ascii="宋体" w:hAnsi="宋体"/>
          <w:b/>
          <w:bCs w:val="0"/>
          <w:color w:val="auto"/>
          <w:sz w:val="72"/>
          <w:szCs w:val="72"/>
          <w:highlight w:val="none"/>
        </w:rPr>
      </w:pPr>
      <w:bookmarkStart w:id="0" w:name="_Toc79488349"/>
      <w:bookmarkStart w:id="1" w:name="_Toc284"/>
      <w:r>
        <w:rPr>
          <w:rFonts w:hint="eastAsia" w:ascii="宋体" w:hAnsi="宋体"/>
          <w:b/>
          <w:bCs w:val="0"/>
          <w:color w:val="auto"/>
          <w:sz w:val="72"/>
          <w:szCs w:val="72"/>
          <w:highlight w:val="none"/>
        </w:rPr>
        <w:t>建设项目环境影响报告表</w:t>
      </w:r>
      <w:bookmarkEnd w:id="0"/>
      <w:bookmarkEnd w:id="1"/>
    </w:p>
    <w:p w14:paraId="5179D36F">
      <w:pPr>
        <w:adjustRightInd w:val="0"/>
        <w:snapToGrid w:val="0"/>
        <w:spacing w:before="192" w:beforeLines="80"/>
        <w:jc w:val="center"/>
        <w:rPr>
          <w:rFonts w:hint="eastAsia" w:ascii="宋体" w:hAnsi="宋体" w:eastAsia="宋体" w:cs="宋体"/>
          <w:b/>
          <w:bCs w:val="0"/>
          <w:color w:val="auto"/>
          <w:sz w:val="30"/>
          <w:szCs w:val="30"/>
          <w:highlight w:val="none"/>
          <w:lang w:eastAsia="zh-CN"/>
        </w:rPr>
      </w:pPr>
      <w:r>
        <w:rPr>
          <w:rFonts w:hint="eastAsia" w:ascii="宋体" w:hAnsi="宋体" w:eastAsia="宋体" w:cs="宋体"/>
          <w:b/>
          <w:bCs w:val="0"/>
          <w:color w:val="auto"/>
          <w:sz w:val="30"/>
          <w:szCs w:val="30"/>
          <w:highlight w:val="none"/>
          <w:lang w:eastAsia="zh-CN"/>
        </w:rPr>
        <w:t>（</w:t>
      </w:r>
      <w:r>
        <w:rPr>
          <w:rFonts w:hint="eastAsia" w:ascii="宋体" w:hAnsi="宋体" w:cs="宋体"/>
          <w:b/>
          <w:bCs w:val="0"/>
          <w:color w:val="auto"/>
          <w:sz w:val="30"/>
          <w:szCs w:val="30"/>
          <w:highlight w:val="none"/>
          <w:lang w:val="en-US" w:eastAsia="zh-CN"/>
        </w:rPr>
        <w:t>公示本</w:t>
      </w:r>
      <w:r>
        <w:rPr>
          <w:rFonts w:hint="eastAsia" w:ascii="宋体" w:hAnsi="宋体" w:eastAsia="宋体" w:cs="宋体"/>
          <w:b/>
          <w:bCs w:val="0"/>
          <w:color w:val="auto"/>
          <w:sz w:val="30"/>
          <w:szCs w:val="30"/>
          <w:highlight w:val="none"/>
          <w:lang w:eastAsia="zh-CN"/>
        </w:rPr>
        <w:t>）</w:t>
      </w:r>
    </w:p>
    <w:p w14:paraId="49B12DA7">
      <w:pPr>
        <w:autoSpaceDN w:val="0"/>
        <w:rPr>
          <w:b/>
          <w:color w:val="auto"/>
          <w:kern w:val="0"/>
          <w:sz w:val="36"/>
          <w:szCs w:val="36"/>
          <w:highlight w:val="none"/>
        </w:rPr>
      </w:pPr>
    </w:p>
    <w:p w14:paraId="2D3141D3">
      <w:pPr>
        <w:autoSpaceDN w:val="0"/>
        <w:rPr>
          <w:color w:val="auto"/>
          <w:sz w:val="36"/>
          <w:szCs w:val="36"/>
          <w:highlight w:val="none"/>
        </w:rPr>
      </w:pPr>
    </w:p>
    <w:p w14:paraId="55B7138B">
      <w:pPr>
        <w:autoSpaceDN w:val="0"/>
        <w:rPr>
          <w:color w:val="auto"/>
          <w:sz w:val="36"/>
          <w:szCs w:val="36"/>
          <w:highlight w:val="none"/>
        </w:rPr>
      </w:pPr>
    </w:p>
    <w:p w14:paraId="6B7597CE">
      <w:pPr>
        <w:autoSpaceDN w:val="0"/>
        <w:rPr>
          <w:color w:val="auto"/>
          <w:sz w:val="36"/>
          <w:szCs w:val="36"/>
          <w:highlight w:val="none"/>
        </w:rPr>
      </w:pPr>
    </w:p>
    <w:p w14:paraId="194DB1A6">
      <w:pPr>
        <w:autoSpaceDN w:val="0"/>
        <w:rPr>
          <w:color w:val="auto"/>
          <w:sz w:val="36"/>
          <w:szCs w:val="36"/>
          <w:highlight w:val="none"/>
        </w:rPr>
      </w:pPr>
    </w:p>
    <w:p w14:paraId="54A4F1DD">
      <w:pPr>
        <w:autoSpaceDN w:val="0"/>
        <w:rPr>
          <w:color w:val="auto"/>
          <w:sz w:val="36"/>
          <w:szCs w:val="36"/>
          <w:highlight w:val="none"/>
        </w:rPr>
      </w:pPr>
    </w:p>
    <w:p w14:paraId="56DF8CD7">
      <w:pPr>
        <w:autoSpaceDN w:val="0"/>
        <w:rPr>
          <w:color w:val="auto"/>
          <w:sz w:val="36"/>
          <w:szCs w:val="36"/>
          <w:highlight w:val="none"/>
        </w:rPr>
      </w:pPr>
    </w:p>
    <w:tbl>
      <w:tblPr>
        <w:tblStyle w:val="44"/>
        <w:tblW w:w="5066" w:type="pct"/>
        <w:tblInd w:w="0" w:type="dxa"/>
        <w:tblLayout w:type="autofit"/>
        <w:tblCellMar>
          <w:top w:w="0" w:type="dxa"/>
          <w:left w:w="108" w:type="dxa"/>
          <w:bottom w:w="0" w:type="dxa"/>
          <w:right w:w="108" w:type="dxa"/>
        </w:tblCellMar>
      </w:tblPr>
      <w:tblGrid>
        <w:gridCol w:w="2932"/>
        <w:gridCol w:w="5903"/>
      </w:tblGrid>
      <w:tr w14:paraId="35A01A1C">
        <w:tblPrEx>
          <w:tblCellMar>
            <w:top w:w="0" w:type="dxa"/>
            <w:left w:w="108" w:type="dxa"/>
            <w:bottom w:w="0" w:type="dxa"/>
            <w:right w:w="108" w:type="dxa"/>
          </w:tblCellMar>
        </w:tblPrEx>
        <w:trPr>
          <w:trHeight w:val="1042" w:hRule="atLeast"/>
        </w:trPr>
        <w:tc>
          <w:tcPr>
            <w:tcW w:w="1810" w:type="pct"/>
            <w:vAlign w:val="center"/>
          </w:tcPr>
          <w:p w14:paraId="592B00FA">
            <w:pPr>
              <w:autoSpaceDN w:val="0"/>
              <w:jc w:val="distribute"/>
              <w:rPr>
                <w:rFonts w:ascii="宋体" w:hAnsi="宋体"/>
                <w:b/>
                <w:bCs/>
                <w:color w:val="auto"/>
                <w:spacing w:val="-20"/>
                <w:kern w:val="0"/>
                <w:sz w:val="32"/>
                <w:szCs w:val="32"/>
                <w:highlight w:val="none"/>
                <w:u w:val="single"/>
              </w:rPr>
            </w:pPr>
            <w:r>
              <w:rPr>
                <w:rFonts w:hint="eastAsia" w:ascii="宋体" w:hAnsi="宋体"/>
                <w:b/>
                <w:bCs/>
                <w:color w:val="auto"/>
                <w:spacing w:val="-20"/>
                <w:sz w:val="32"/>
                <w:szCs w:val="32"/>
                <w:highlight w:val="none"/>
              </w:rPr>
              <w:t>项目名称</w:t>
            </w:r>
            <w:r>
              <w:rPr>
                <w:rFonts w:ascii="宋体" w:hAnsi="宋体"/>
                <w:b/>
                <w:bCs/>
                <w:color w:val="auto"/>
                <w:spacing w:val="-20"/>
                <w:sz w:val="32"/>
                <w:szCs w:val="32"/>
                <w:highlight w:val="none"/>
              </w:rPr>
              <w:t>：</w:t>
            </w:r>
          </w:p>
        </w:tc>
        <w:tc>
          <w:tcPr>
            <w:tcW w:w="3190" w:type="pct"/>
            <w:vAlign w:val="center"/>
          </w:tcPr>
          <w:p w14:paraId="414A7A56">
            <w:pPr>
              <w:keepNext w:val="0"/>
              <w:keepLines w:val="0"/>
              <w:pageBreakBefore w:val="0"/>
              <w:widowControl w:val="0"/>
              <w:kinsoku/>
              <w:wordWrap/>
              <w:overflowPunct/>
              <w:topLinePunct w:val="0"/>
              <w:autoSpaceDE/>
              <w:autoSpaceDN w:val="0"/>
              <w:bidi w:val="0"/>
              <w:adjustRightInd w:val="0"/>
              <w:snapToGrid w:val="0"/>
              <w:jc w:val="distribute"/>
              <w:textAlignment w:val="auto"/>
              <w:rPr>
                <w:rFonts w:hint="eastAsia"/>
                <w:b/>
                <w:bCs/>
                <w:color w:val="auto"/>
                <w:spacing w:val="-20"/>
                <w:sz w:val="32"/>
                <w:szCs w:val="32"/>
                <w:highlight w:val="none"/>
                <w:u w:val="single"/>
                <w:lang w:eastAsia="zh-CN"/>
              </w:rPr>
            </w:pPr>
            <w:r>
              <w:rPr>
                <w:rFonts w:hint="eastAsia"/>
                <w:b/>
                <w:bCs/>
                <w:color w:val="auto"/>
                <w:spacing w:val="1"/>
                <w:w w:val="92"/>
                <w:kern w:val="0"/>
                <w:sz w:val="32"/>
                <w:szCs w:val="32"/>
                <w:highlight w:val="none"/>
                <w:u w:val="single"/>
                <w:fitText w:val="5696" w:id="2143094674"/>
                <w:lang w:eastAsia="zh-CN"/>
              </w:rPr>
              <w:t>白沙变T接茅洲~柳北110千伏线路工程项</w:t>
            </w:r>
            <w:r>
              <w:rPr>
                <w:rFonts w:hint="eastAsia"/>
                <w:b/>
                <w:bCs/>
                <w:color w:val="auto"/>
                <w:spacing w:val="-2"/>
                <w:w w:val="92"/>
                <w:kern w:val="0"/>
                <w:sz w:val="32"/>
                <w:szCs w:val="32"/>
                <w:highlight w:val="none"/>
                <w:u w:val="single"/>
                <w:fitText w:val="5696" w:id="2143094674"/>
                <w:lang w:eastAsia="zh-CN"/>
              </w:rPr>
              <w:t>目</w:t>
            </w:r>
          </w:p>
        </w:tc>
      </w:tr>
      <w:tr w14:paraId="72CA5847">
        <w:tblPrEx>
          <w:tblCellMar>
            <w:top w:w="0" w:type="dxa"/>
            <w:left w:w="108" w:type="dxa"/>
            <w:bottom w:w="0" w:type="dxa"/>
            <w:right w:w="108" w:type="dxa"/>
          </w:tblCellMar>
        </w:tblPrEx>
        <w:trPr>
          <w:trHeight w:val="1115" w:hRule="atLeast"/>
        </w:trPr>
        <w:tc>
          <w:tcPr>
            <w:tcW w:w="1810" w:type="pct"/>
            <w:vAlign w:val="center"/>
          </w:tcPr>
          <w:p w14:paraId="5A1684D4">
            <w:pPr>
              <w:autoSpaceDN w:val="0"/>
              <w:rPr>
                <w:rFonts w:ascii="宋体" w:hAnsi="宋体"/>
                <w:b/>
                <w:bCs/>
                <w:color w:val="auto"/>
                <w:spacing w:val="-20"/>
                <w:sz w:val="32"/>
                <w:szCs w:val="32"/>
                <w:highlight w:val="none"/>
              </w:rPr>
            </w:pPr>
            <w:r>
              <w:rPr>
                <w:rFonts w:hint="eastAsia" w:ascii="宋体" w:hAnsi="宋体"/>
                <w:b/>
                <w:bCs/>
                <w:color w:val="auto"/>
                <w:spacing w:val="-20"/>
                <w:sz w:val="32"/>
                <w:szCs w:val="32"/>
                <w:highlight w:val="none"/>
              </w:rPr>
              <w:t>建设单位（盖章）</w:t>
            </w:r>
            <w:r>
              <w:rPr>
                <w:rFonts w:ascii="宋体" w:hAnsi="宋体"/>
                <w:b/>
                <w:bCs/>
                <w:color w:val="auto"/>
                <w:spacing w:val="-20"/>
                <w:sz w:val="32"/>
                <w:szCs w:val="32"/>
                <w:highlight w:val="none"/>
              </w:rPr>
              <w:t>：</w:t>
            </w:r>
          </w:p>
        </w:tc>
        <w:tc>
          <w:tcPr>
            <w:tcW w:w="3190" w:type="pct"/>
            <w:vAlign w:val="center"/>
          </w:tcPr>
          <w:p w14:paraId="2CF29EFF">
            <w:pPr>
              <w:autoSpaceDN w:val="0"/>
              <w:jc w:val="distribute"/>
              <w:rPr>
                <w:rFonts w:hint="eastAsia" w:ascii="宋体" w:hAnsi="宋体" w:eastAsia="宋体"/>
                <w:b/>
                <w:bCs/>
                <w:color w:val="auto"/>
                <w:spacing w:val="-20"/>
                <w:sz w:val="32"/>
                <w:szCs w:val="32"/>
                <w:highlight w:val="none"/>
                <w:u w:val="single"/>
                <w:lang w:eastAsia="zh-CN"/>
              </w:rPr>
            </w:pPr>
            <w:r>
              <w:rPr>
                <w:rFonts w:hint="eastAsia" w:ascii="宋体" w:hAnsi="宋体"/>
                <w:b/>
                <w:bCs/>
                <w:color w:val="auto"/>
                <w:spacing w:val="-20"/>
                <w:sz w:val="32"/>
                <w:szCs w:val="32"/>
                <w:highlight w:val="none"/>
                <w:u w:val="single"/>
              </w:rPr>
              <w:t>广西电网有限责任公司</w:t>
            </w:r>
            <w:r>
              <w:rPr>
                <w:rFonts w:hint="eastAsia" w:ascii="宋体" w:hAnsi="宋体"/>
                <w:b/>
                <w:bCs/>
                <w:color w:val="auto"/>
                <w:spacing w:val="-20"/>
                <w:sz w:val="32"/>
                <w:szCs w:val="32"/>
                <w:highlight w:val="none"/>
                <w:u w:val="single"/>
                <w:lang w:eastAsia="zh-CN"/>
              </w:rPr>
              <w:t>柳州供电局</w:t>
            </w:r>
          </w:p>
        </w:tc>
      </w:tr>
    </w:tbl>
    <w:p w14:paraId="57A98C1C">
      <w:pPr>
        <w:autoSpaceDN w:val="0"/>
        <w:jc w:val="left"/>
        <w:rPr>
          <w:color w:val="auto"/>
          <w:sz w:val="36"/>
          <w:szCs w:val="36"/>
          <w:highlight w:val="none"/>
        </w:rPr>
      </w:pPr>
    </w:p>
    <w:p w14:paraId="1E70F2CE">
      <w:pPr>
        <w:autoSpaceDN w:val="0"/>
        <w:jc w:val="left"/>
        <w:rPr>
          <w:b/>
          <w:bCs/>
          <w:color w:val="auto"/>
          <w:sz w:val="36"/>
          <w:szCs w:val="36"/>
          <w:highlight w:val="none"/>
          <w:u w:val="single"/>
        </w:rPr>
      </w:pPr>
    </w:p>
    <w:p w14:paraId="6E1F7A23">
      <w:pPr>
        <w:autoSpaceDN w:val="0"/>
        <w:jc w:val="left"/>
        <w:rPr>
          <w:b/>
          <w:bCs/>
          <w:color w:val="auto"/>
          <w:sz w:val="36"/>
          <w:szCs w:val="36"/>
          <w:highlight w:val="none"/>
          <w:u w:val="single"/>
        </w:rPr>
      </w:pPr>
    </w:p>
    <w:p w14:paraId="489D7E7C">
      <w:pPr>
        <w:autoSpaceDN w:val="0"/>
        <w:jc w:val="left"/>
        <w:rPr>
          <w:b/>
          <w:bCs/>
          <w:color w:val="auto"/>
          <w:sz w:val="36"/>
          <w:szCs w:val="36"/>
          <w:highlight w:val="none"/>
          <w:u w:val="single"/>
        </w:rPr>
      </w:pPr>
    </w:p>
    <w:p w14:paraId="5D0A38EE">
      <w:pPr>
        <w:adjustRightInd w:val="0"/>
        <w:snapToGrid w:val="0"/>
        <w:spacing w:line="288" w:lineRule="auto"/>
        <w:rPr>
          <w:rFonts w:eastAsia="黑体"/>
          <w:color w:val="auto"/>
          <w:kern w:val="0"/>
          <w:sz w:val="36"/>
          <w:szCs w:val="36"/>
          <w:highlight w:val="none"/>
        </w:rPr>
      </w:pPr>
    </w:p>
    <w:p w14:paraId="6C36F327">
      <w:pPr>
        <w:adjustRightInd w:val="0"/>
        <w:snapToGrid w:val="0"/>
        <w:spacing w:line="288" w:lineRule="auto"/>
        <w:ind w:firstLine="1040"/>
        <w:rPr>
          <w:rFonts w:ascii="仿宋_GB2312" w:eastAsia="仿宋_GB2312"/>
          <w:color w:val="auto"/>
          <w:sz w:val="36"/>
          <w:szCs w:val="36"/>
          <w:highlight w:val="none"/>
        </w:rPr>
      </w:pPr>
    </w:p>
    <w:p w14:paraId="131B0034">
      <w:pPr>
        <w:adjustRightInd w:val="0"/>
        <w:snapToGrid w:val="0"/>
        <w:spacing w:line="288" w:lineRule="auto"/>
        <w:rPr>
          <w:rFonts w:ascii="仿宋_GB2312" w:eastAsia="仿宋_GB2312"/>
          <w:color w:val="auto"/>
          <w:sz w:val="36"/>
          <w:szCs w:val="36"/>
          <w:highlight w:val="none"/>
        </w:rPr>
      </w:pPr>
    </w:p>
    <w:p w14:paraId="0DE38710">
      <w:pPr>
        <w:spacing w:line="360" w:lineRule="auto"/>
        <w:jc w:val="center"/>
        <w:rPr>
          <w:b/>
          <w:bCs/>
          <w:color w:val="auto"/>
          <w:sz w:val="36"/>
          <w:szCs w:val="36"/>
          <w:highlight w:val="none"/>
        </w:rPr>
      </w:pPr>
      <w:r>
        <w:rPr>
          <w:b/>
          <w:bCs/>
          <w:color w:val="auto"/>
          <w:sz w:val="36"/>
          <w:szCs w:val="36"/>
          <w:highlight w:val="none"/>
        </w:rPr>
        <w:t>编制单位：湖北君邦环境技术有限责任公司</w:t>
      </w:r>
    </w:p>
    <w:p w14:paraId="6CC11ED1">
      <w:pPr>
        <w:spacing w:line="360" w:lineRule="auto"/>
        <w:jc w:val="center"/>
        <w:rPr>
          <w:b/>
          <w:bCs/>
          <w:color w:val="auto"/>
          <w:sz w:val="36"/>
          <w:szCs w:val="36"/>
          <w:highlight w:val="none"/>
        </w:rPr>
      </w:pPr>
      <w:r>
        <w:rPr>
          <w:b/>
          <w:bCs/>
          <w:color w:val="auto"/>
          <w:sz w:val="36"/>
          <w:szCs w:val="36"/>
          <w:highlight w:val="none"/>
        </w:rPr>
        <w:t>编制日期：二〇</w:t>
      </w:r>
      <w:r>
        <w:rPr>
          <w:rFonts w:hint="eastAsia"/>
          <w:b/>
          <w:bCs/>
          <w:color w:val="auto"/>
          <w:sz w:val="36"/>
          <w:szCs w:val="36"/>
          <w:highlight w:val="none"/>
        </w:rPr>
        <w:t>二</w:t>
      </w:r>
      <w:r>
        <w:rPr>
          <w:rFonts w:hint="eastAsia"/>
          <w:b/>
          <w:bCs/>
          <w:color w:val="auto"/>
          <w:sz w:val="36"/>
          <w:szCs w:val="36"/>
          <w:highlight w:val="none"/>
          <w:lang w:val="en-US" w:eastAsia="zh-CN"/>
        </w:rPr>
        <w:t>六</w:t>
      </w:r>
      <w:r>
        <w:rPr>
          <w:b/>
          <w:bCs/>
          <w:color w:val="auto"/>
          <w:sz w:val="36"/>
          <w:szCs w:val="36"/>
          <w:highlight w:val="none"/>
        </w:rPr>
        <w:t>年</w:t>
      </w:r>
      <w:r>
        <w:rPr>
          <w:rFonts w:hint="eastAsia"/>
          <w:b/>
          <w:bCs/>
          <w:color w:val="auto"/>
          <w:sz w:val="36"/>
          <w:szCs w:val="36"/>
          <w:highlight w:val="none"/>
          <w:lang w:val="en-US" w:eastAsia="zh-CN"/>
        </w:rPr>
        <w:t>十</w:t>
      </w:r>
      <w:r>
        <w:rPr>
          <w:b/>
          <w:bCs/>
          <w:color w:val="auto"/>
          <w:sz w:val="36"/>
          <w:szCs w:val="36"/>
          <w:highlight w:val="none"/>
        </w:rPr>
        <w:t>月</w:t>
      </w:r>
    </w:p>
    <w:p w14:paraId="47C825FF">
      <w:pPr>
        <w:adjustRightInd w:val="0"/>
        <w:snapToGrid w:val="0"/>
        <w:spacing w:line="288" w:lineRule="auto"/>
        <w:jc w:val="center"/>
        <w:rPr>
          <w:rFonts w:ascii="楷体_GB2312" w:eastAsia="楷体_GB2312"/>
          <w:color w:val="auto"/>
          <w:sz w:val="36"/>
          <w:szCs w:val="36"/>
          <w:highlight w:val="none"/>
        </w:rPr>
      </w:pPr>
      <w:r>
        <w:rPr>
          <w:rFonts w:ascii="楷体_GB2312" w:eastAsia="楷体_GB2312"/>
          <w:color w:val="auto"/>
          <w:sz w:val="36"/>
          <w:szCs w:val="36"/>
          <w:highlight w:val="none"/>
        </w:rPr>
        <w:br w:type="page"/>
      </w:r>
    </w:p>
    <w:p w14:paraId="64667B08">
      <w:pPr>
        <w:spacing w:after="240" w:afterLines="100" w:line="360" w:lineRule="auto"/>
        <w:jc w:val="center"/>
        <w:rPr>
          <w:b/>
          <w:bCs/>
          <w:color w:val="auto"/>
          <w:sz w:val="32"/>
          <w:szCs w:val="32"/>
          <w:highlight w:val="none"/>
        </w:rPr>
      </w:pPr>
      <w:r>
        <w:rPr>
          <w:b/>
          <w:bCs/>
          <w:color w:val="auto"/>
          <w:sz w:val="32"/>
          <w:szCs w:val="32"/>
          <w:highlight w:val="none"/>
        </w:rPr>
        <w:br w:type="page"/>
      </w:r>
    </w:p>
    <w:p w14:paraId="4A8AC21D">
      <w:pPr>
        <w:spacing w:line="360" w:lineRule="auto"/>
        <w:jc w:val="center"/>
        <w:rPr>
          <w:color w:val="auto"/>
          <w:sz w:val="28"/>
          <w:szCs w:val="28"/>
          <w:highlight w:val="none"/>
        </w:rPr>
      </w:pPr>
      <w:r>
        <w:rPr>
          <w:b/>
          <w:bCs/>
          <w:color w:val="auto"/>
          <w:sz w:val="32"/>
          <w:szCs w:val="32"/>
          <w:highlight w:val="none"/>
        </w:rPr>
        <w:t>目  录</w:t>
      </w:r>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p>
    <w:sdt>
      <w:sdtPr>
        <w:rPr>
          <w:rFonts w:ascii="宋体" w:hAnsi="宋体" w:eastAsia="宋体" w:cs="Times New Roman"/>
          <w:color w:val="auto"/>
          <w:kern w:val="2"/>
          <w:sz w:val="21"/>
          <w:szCs w:val="24"/>
          <w:highlight w:val="none"/>
          <w:lang w:val="en-US" w:eastAsia="zh-CN" w:bidi="ar-SA"/>
        </w:rPr>
        <w:id w:val="147461353"/>
        <w15:color w:val="DBDBDB"/>
        <w:docPartObj>
          <w:docPartGallery w:val="Table of Contents"/>
          <w:docPartUnique/>
        </w:docPartObj>
      </w:sdtPr>
      <w:sdtEndPr>
        <w:rPr>
          <w:rFonts w:hint="default" w:ascii="Times New Roman" w:hAnsi="Times New Roman" w:eastAsia="宋体" w:cs="Times New Roman"/>
          <w:color w:val="auto"/>
          <w:kern w:val="2"/>
          <w:sz w:val="24"/>
          <w:szCs w:val="28"/>
          <w:highlight w:val="none"/>
          <w:lang w:val="en-US" w:eastAsia="zh-CN" w:bidi="ar-SA"/>
        </w:rPr>
      </w:sdtEndPr>
      <w:sdtContent>
        <w:p w14:paraId="30B17965">
          <w:pPr>
            <w:spacing w:before="0" w:beforeLines="0" w:after="0" w:afterLines="0" w:line="240" w:lineRule="auto"/>
            <w:ind w:left="0" w:leftChars="0" w:right="0" w:rightChars="0" w:firstLine="0" w:firstLineChars="0"/>
            <w:jc w:val="center"/>
            <w:rPr>
              <w:color w:val="auto"/>
              <w:highlight w:val="none"/>
            </w:rPr>
          </w:pPr>
          <w:r>
            <w:rPr>
              <w:rFonts w:hint="default" w:ascii="Times New Roman" w:hAnsi="Times New Roman" w:eastAsia="宋体" w:cs="Times New Roman"/>
              <w:color w:val="auto"/>
              <w:sz w:val="28"/>
              <w:szCs w:val="28"/>
              <w:highlight w:val="none"/>
              <w:lang w:val="en-US" w:eastAsia="zh-CN"/>
            </w:rPr>
            <w:fldChar w:fldCharType="begin"/>
          </w:r>
          <w:r>
            <w:rPr>
              <w:rFonts w:hint="default" w:ascii="Times New Roman" w:hAnsi="Times New Roman" w:eastAsia="宋体" w:cs="Times New Roman"/>
              <w:color w:val="auto"/>
              <w:sz w:val="28"/>
              <w:szCs w:val="28"/>
              <w:highlight w:val="none"/>
              <w:lang w:val="en-US" w:eastAsia="zh-CN"/>
            </w:rPr>
            <w:instrText xml:space="preserve">TOC \o "1-1" \h \u </w:instrText>
          </w:r>
          <w:r>
            <w:rPr>
              <w:rFonts w:hint="default" w:ascii="Times New Roman" w:hAnsi="Times New Roman" w:eastAsia="宋体" w:cs="Times New Roman"/>
              <w:color w:val="auto"/>
              <w:sz w:val="28"/>
              <w:szCs w:val="28"/>
              <w:highlight w:val="none"/>
              <w:lang w:val="en-US" w:eastAsia="zh-CN"/>
            </w:rPr>
            <w:fldChar w:fldCharType="separate"/>
          </w:r>
        </w:p>
        <w:p w14:paraId="522826F3">
          <w:pPr>
            <w:pStyle w:val="29"/>
            <w:keepNext w:val="0"/>
            <w:keepLines w:val="0"/>
            <w:pageBreakBefore w:val="0"/>
            <w:widowControl w:val="0"/>
            <w:tabs>
              <w:tab w:val="right" w:leader="dot" w:pos="8504"/>
            </w:tabs>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color w:val="auto"/>
              <w:sz w:val="28"/>
              <w:szCs w:val="28"/>
              <w:highlight w:val="none"/>
            </w:rPr>
          </w:pPr>
          <w:r>
            <w:rPr>
              <w:rFonts w:hint="default" w:ascii="Times New Roman" w:hAnsi="Times New Roman" w:eastAsia="宋体" w:cs="Times New Roman"/>
              <w:b w:val="0"/>
              <w:bCs w:val="0"/>
              <w:color w:val="auto"/>
              <w:sz w:val="28"/>
              <w:szCs w:val="28"/>
              <w:highlight w:val="none"/>
              <w:lang w:val="en-US" w:eastAsia="zh-CN"/>
            </w:rPr>
            <w:fldChar w:fldCharType="begin"/>
          </w:r>
          <w:r>
            <w:rPr>
              <w:rFonts w:hint="default" w:ascii="Times New Roman" w:hAnsi="Times New Roman" w:eastAsia="宋体" w:cs="Times New Roman"/>
              <w:b w:val="0"/>
              <w:bCs w:val="0"/>
              <w:color w:val="auto"/>
              <w:sz w:val="28"/>
              <w:szCs w:val="28"/>
              <w:highlight w:val="none"/>
              <w:lang w:val="en-US" w:eastAsia="zh-CN"/>
            </w:rPr>
            <w:instrText xml:space="preserve"> HYPERLINK \l _Toc18898 </w:instrText>
          </w:r>
          <w:r>
            <w:rPr>
              <w:rFonts w:hint="default" w:ascii="Times New Roman" w:hAnsi="Times New Roman" w:eastAsia="宋体" w:cs="Times New Roman"/>
              <w:b w:val="0"/>
              <w:bCs w:val="0"/>
              <w:color w:val="auto"/>
              <w:sz w:val="28"/>
              <w:szCs w:val="28"/>
              <w:highlight w:val="none"/>
              <w:lang w:val="en-US" w:eastAsia="zh-CN"/>
            </w:rPr>
            <w:fldChar w:fldCharType="separate"/>
          </w:r>
          <w:r>
            <w:rPr>
              <w:rFonts w:hint="default" w:ascii="Times New Roman" w:hAnsi="Times New Roman" w:eastAsia="宋体" w:cs="Times New Roman"/>
              <w:b w:val="0"/>
              <w:bCs w:val="0"/>
              <w:snapToGrid w:val="0"/>
              <w:color w:val="auto"/>
              <w:sz w:val="28"/>
              <w:szCs w:val="28"/>
              <w:highlight w:val="none"/>
            </w:rPr>
            <w:t>一、建设项目基本情况</w:t>
          </w:r>
          <w:r>
            <w:rPr>
              <w:rFonts w:hint="default" w:ascii="Times New Roman" w:hAnsi="Times New Roman" w:eastAsia="宋体" w:cs="Times New Roman"/>
              <w:b w:val="0"/>
              <w:bCs w:val="0"/>
              <w:color w:val="auto"/>
              <w:sz w:val="28"/>
              <w:szCs w:val="28"/>
              <w:highlight w:val="none"/>
            </w:rPr>
            <w:tab/>
          </w:r>
          <w:r>
            <w:rPr>
              <w:rFonts w:hint="default" w:ascii="Times New Roman" w:hAnsi="Times New Roman" w:eastAsia="宋体" w:cs="Times New Roman"/>
              <w:b w:val="0"/>
              <w:bCs w:val="0"/>
              <w:color w:val="auto"/>
              <w:sz w:val="28"/>
              <w:szCs w:val="28"/>
              <w:highlight w:val="none"/>
            </w:rPr>
            <w:fldChar w:fldCharType="begin"/>
          </w:r>
          <w:r>
            <w:rPr>
              <w:rFonts w:hint="default" w:ascii="Times New Roman" w:hAnsi="Times New Roman" w:eastAsia="宋体" w:cs="Times New Roman"/>
              <w:b w:val="0"/>
              <w:bCs w:val="0"/>
              <w:color w:val="auto"/>
              <w:sz w:val="28"/>
              <w:szCs w:val="28"/>
              <w:highlight w:val="none"/>
            </w:rPr>
            <w:instrText xml:space="preserve"> PAGEREF _Toc18898 \h </w:instrText>
          </w:r>
          <w:r>
            <w:rPr>
              <w:rFonts w:hint="default" w:ascii="Times New Roman" w:hAnsi="Times New Roman" w:eastAsia="宋体" w:cs="Times New Roman"/>
              <w:b w:val="0"/>
              <w:bCs w:val="0"/>
              <w:color w:val="auto"/>
              <w:sz w:val="28"/>
              <w:szCs w:val="28"/>
              <w:highlight w:val="none"/>
            </w:rPr>
            <w:fldChar w:fldCharType="separate"/>
          </w:r>
          <w:r>
            <w:rPr>
              <w:rFonts w:hint="default" w:ascii="Times New Roman" w:hAnsi="Times New Roman" w:eastAsia="宋体" w:cs="Times New Roman"/>
              <w:b w:val="0"/>
              <w:bCs w:val="0"/>
              <w:color w:val="auto"/>
              <w:sz w:val="28"/>
              <w:szCs w:val="28"/>
              <w:highlight w:val="none"/>
            </w:rPr>
            <w:t>1</w:t>
          </w:r>
          <w:r>
            <w:rPr>
              <w:rFonts w:hint="default" w:ascii="Times New Roman" w:hAnsi="Times New Roman" w:eastAsia="宋体" w:cs="Times New Roman"/>
              <w:b w:val="0"/>
              <w:bCs w:val="0"/>
              <w:color w:val="auto"/>
              <w:sz w:val="28"/>
              <w:szCs w:val="28"/>
              <w:highlight w:val="none"/>
            </w:rPr>
            <w:fldChar w:fldCharType="end"/>
          </w:r>
          <w:r>
            <w:rPr>
              <w:rFonts w:hint="default" w:ascii="Times New Roman" w:hAnsi="Times New Roman" w:eastAsia="宋体" w:cs="Times New Roman"/>
              <w:b w:val="0"/>
              <w:bCs w:val="0"/>
              <w:color w:val="auto"/>
              <w:sz w:val="28"/>
              <w:szCs w:val="28"/>
              <w:highlight w:val="none"/>
              <w:lang w:val="en-US" w:eastAsia="zh-CN"/>
            </w:rPr>
            <w:fldChar w:fldCharType="end"/>
          </w:r>
        </w:p>
        <w:p w14:paraId="4EC035EE">
          <w:pPr>
            <w:pStyle w:val="29"/>
            <w:keepNext w:val="0"/>
            <w:keepLines w:val="0"/>
            <w:pageBreakBefore w:val="0"/>
            <w:widowControl w:val="0"/>
            <w:tabs>
              <w:tab w:val="right" w:leader="dot" w:pos="8504"/>
            </w:tabs>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color w:val="auto"/>
              <w:sz w:val="28"/>
              <w:szCs w:val="28"/>
              <w:highlight w:val="none"/>
            </w:rPr>
          </w:pPr>
          <w:r>
            <w:rPr>
              <w:rFonts w:hint="default" w:ascii="Times New Roman" w:hAnsi="Times New Roman" w:eastAsia="宋体" w:cs="Times New Roman"/>
              <w:b w:val="0"/>
              <w:bCs w:val="0"/>
              <w:color w:val="auto"/>
              <w:sz w:val="28"/>
              <w:szCs w:val="28"/>
              <w:highlight w:val="none"/>
              <w:lang w:val="en-US" w:eastAsia="zh-CN"/>
            </w:rPr>
            <w:fldChar w:fldCharType="begin"/>
          </w:r>
          <w:r>
            <w:rPr>
              <w:rFonts w:hint="default" w:ascii="Times New Roman" w:hAnsi="Times New Roman" w:eastAsia="宋体" w:cs="Times New Roman"/>
              <w:b w:val="0"/>
              <w:bCs w:val="0"/>
              <w:color w:val="auto"/>
              <w:sz w:val="28"/>
              <w:szCs w:val="28"/>
              <w:highlight w:val="none"/>
              <w:lang w:val="en-US" w:eastAsia="zh-CN"/>
            </w:rPr>
            <w:instrText xml:space="preserve"> HYPERLINK \l _Toc19387 </w:instrText>
          </w:r>
          <w:r>
            <w:rPr>
              <w:rFonts w:hint="default" w:ascii="Times New Roman" w:hAnsi="Times New Roman" w:eastAsia="宋体" w:cs="Times New Roman"/>
              <w:b w:val="0"/>
              <w:bCs w:val="0"/>
              <w:color w:val="auto"/>
              <w:sz w:val="28"/>
              <w:szCs w:val="28"/>
              <w:highlight w:val="none"/>
              <w:lang w:val="en-US" w:eastAsia="zh-CN"/>
            </w:rPr>
            <w:fldChar w:fldCharType="separate"/>
          </w:r>
          <w:r>
            <w:rPr>
              <w:rFonts w:hint="default" w:ascii="Times New Roman" w:hAnsi="Times New Roman" w:eastAsia="宋体" w:cs="Times New Roman"/>
              <w:b w:val="0"/>
              <w:bCs w:val="0"/>
              <w:snapToGrid w:val="0"/>
              <w:color w:val="auto"/>
              <w:sz w:val="28"/>
              <w:szCs w:val="28"/>
              <w:highlight w:val="none"/>
            </w:rPr>
            <w:t>二、建设内容</w:t>
          </w:r>
          <w:r>
            <w:rPr>
              <w:rFonts w:hint="default" w:ascii="Times New Roman" w:hAnsi="Times New Roman" w:eastAsia="宋体" w:cs="Times New Roman"/>
              <w:b w:val="0"/>
              <w:bCs w:val="0"/>
              <w:color w:val="auto"/>
              <w:sz w:val="28"/>
              <w:szCs w:val="28"/>
              <w:highlight w:val="none"/>
            </w:rPr>
            <w:tab/>
          </w:r>
          <w:r>
            <w:rPr>
              <w:rFonts w:hint="default" w:ascii="Times New Roman" w:hAnsi="Times New Roman" w:eastAsia="宋体" w:cs="Times New Roman"/>
              <w:b w:val="0"/>
              <w:bCs w:val="0"/>
              <w:color w:val="auto"/>
              <w:sz w:val="28"/>
              <w:szCs w:val="28"/>
              <w:highlight w:val="none"/>
            </w:rPr>
            <w:fldChar w:fldCharType="begin"/>
          </w:r>
          <w:r>
            <w:rPr>
              <w:rFonts w:hint="default" w:ascii="Times New Roman" w:hAnsi="Times New Roman" w:eastAsia="宋体" w:cs="Times New Roman"/>
              <w:b w:val="0"/>
              <w:bCs w:val="0"/>
              <w:color w:val="auto"/>
              <w:sz w:val="28"/>
              <w:szCs w:val="28"/>
              <w:highlight w:val="none"/>
            </w:rPr>
            <w:instrText xml:space="preserve"> PAGEREF _Toc19387 \h </w:instrText>
          </w:r>
          <w:r>
            <w:rPr>
              <w:rFonts w:hint="default" w:ascii="Times New Roman" w:hAnsi="Times New Roman" w:eastAsia="宋体" w:cs="Times New Roman"/>
              <w:b w:val="0"/>
              <w:bCs w:val="0"/>
              <w:color w:val="auto"/>
              <w:sz w:val="28"/>
              <w:szCs w:val="28"/>
              <w:highlight w:val="none"/>
            </w:rPr>
            <w:fldChar w:fldCharType="separate"/>
          </w:r>
          <w:r>
            <w:rPr>
              <w:rFonts w:hint="default" w:ascii="Times New Roman" w:hAnsi="Times New Roman" w:eastAsia="宋体" w:cs="Times New Roman"/>
              <w:b w:val="0"/>
              <w:bCs w:val="0"/>
              <w:color w:val="auto"/>
              <w:sz w:val="28"/>
              <w:szCs w:val="28"/>
              <w:highlight w:val="none"/>
            </w:rPr>
            <w:t>7</w:t>
          </w:r>
          <w:r>
            <w:rPr>
              <w:rFonts w:hint="default" w:ascii="Times New Roman" w:hAnsi="Times New Roman" w:eastAsia="宋体" w:cs="Times New Roman"/>
              <w:b w:val="0"/>
              <w:bCs w:val="0"/>
              <w:color w:val="auto"/>
              <w:sz w:val="28"/>
              <w:szCs w:val="28"/>
              <w:highlight w:val="none"/>
            </w:rPr>
            <w:fldChar w:fldCharType="end"/>
          </w:r>
          <w:r>
            <w:rPr>
              <w:rFonts w:hint="default" w:ascii="Times New Roman" w:hAnsi="Times New Roman" w:eastAsia="宋体" w:cs="Times New Roman"/>
              <w:b w:val="0"/>
              <w:bCs w:val="0"/>
              <w:color w:val="auto"/>
              <w:sz w:val="28"/>
              <w:szCs w:val="28"/>
              <w:highlight w:val="none"/>
              <w:lang w:val="en-US" w:eastAsia="zh-CN"/>
            </w:rPr>
            <w:fldChar w:fldCharType="end"/>
          </w:r>
        </w:p>
        <w:p w14:paraId="7524E07A">
          <w:pPr>
            <w:pStyle w:val="29"/>
            <w:keepNext w:val="0"/>
            <w:keepLines w:val="0"/>
            <w:pageBreakBefore w:val="0"/>
            <w:widowControl w:val="0"/>
            <w:tabs>
              <w:tab w:val="right" w:leader="dot" w:pos="8504"/>
            </w:tabs>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color w:val="auto"/>
              <w:sz w:val="28"/>
              <w:szCs w:val="28"/>
              <w:highlight w:val="none"/>
            </w:rPr>
          </w:pPr>
          <w:r>
            <w:rPr>
              <w:rFonts w:hint="default" w:ascii="Times New Roman" w:hAnsi="Times New Roman" w:eastAsia="宋体" w:cs="Times New Roman"/>
              <w:b w:val="0"/>
              <w:bCs w:val="0"/>
              <w:color w:val="auto"/>
              <w:sz w:val="28"/>
              <w:szCs w:val="28"/>
              <w:highlight w:val="none"/>
              <w:lang w:val="en-US" w:eastAsia="zh-CN"/>
            </w:rPr>
            <w:fldChar w:fldCharType="begin"/>
          </w:r>
          <w:r>
            <w:rPr>
              <w:rFonts w:hint="default" w:ascii="Times New Roman" w:hAnsi="Times New Roman" w:eastAsia="宋体" w:cs="Times New Roman"/>
              <w:b w:val="0"/>
              <w:bCs w:val="0"/>
              <w:color w:val="auto"/>
              <w:sz w:val="28"/>
              <w:szCs w:val="28"/>
              <w:highlight w:val="none"/>
              <w:lang w:val="en-US" w:eastAsia="zh-CN"/>
            </w:rPr>
            <w:instrText xml:space="preserve"> HYPERLINK \l _Toc16812 </w:instrText>
          </w:r>
          <w:r>
            <w:rPr>
              <w:rFonts w:hint="default" w:ascii="Times New Roman" w:hAnsi="Times New Roman" w:eastAsia="宋体" w:cs="Times New Roman"/>
              <w:b w:val="0"/>
              <w:bCs w:val="0"/>
              <w:color w:val="auto"/>
              <w:sz w:val="28"/>
              <w:szCs w:val="28"/>
              <w:highlight w:val="none"/>
              <w:lang w:val="en-US" w:eastAsia="zh-CN"/>
            </w:rPr>
            <w:fldChar w:fldCharType="separate"/>
          </w:r>
          <w:r>
            <w:rPr>
              <w:rFonts w:hint="default" w:ascii="Times New Roman" w:hAnsi="Times New Roman" w:eastAsia="宋体" w:cs="Times New Roman"/>
              <w:b w:val="0"/>
              <w:bCs w:val="0"/>
              <w:snapToGrid w:val="0"/>
              <w:color w:val="auto"/>
              <w:sz w:val="28"/>
              <w:szCs w:val="28"/>
              <w:highlight w:val="none"/>
            </w:rPr>
            <w:t>三、生态环境现状、保护目标及评价标准</w:t>
          </w:r>
          <w:r>
            <w:rPr>
              <w:rFonts w:hint="default" w:ascii="Times New Roman" w:hAnsi="Times New Roman" w:eastAsia="宋体" w:cs="Times New Roman"/>
              <w:b w:val="0"/>
              <w:bCs w:val="0"/>
              <w:color w:val="auto"/>
              <w:sz w:val="28"/>
              <w:szCs w:val="28"/>
              <w:highlight w:val="none"/>
            </w:rPr>
            <w:tab/>
          </w:r>
          <w:r>
            <w:rPr>
              <w:rFonts w:hint="default" w:ascii="Times New Roman" w:hAnsi="Times New Roman" w:eastAsia="宋体" w:cs="Times New Roman"/>
              <w:b w:val="0"/>
              <w:bCs w:val="0"/>
              <w:color w:val="auto"/>
              <w:sz w:val="28"/>
              <w:szCs w:val="28"/>
              <w:highlight w:val="none"/>
            </w:rPr>
            <w:fldChar w:fldCharType="begin"/>
          </w:r>
          <w:r>
            <w:rPr>
              <w:rFonts w:hint="default" w:ascii="Times New Roman" w:hAnsi="Times New Roman" w:eastAsia="宋体" w:cs="Times New Roman"/>
              <w:b w:val="0"/>
              <w:bCs w:val="0"/>
              <w:color w:val="auto"/>
              <w:sz w:val="28"/>
              <w:szCs w:val="28"/>
              <w:highlight w:val="none"/>
            </w:rPr>
            <w:instrText xml:space="preserve"> PAGEREF _Toc16812 \h </w:instrText>
          </w:r>
          <w:r>
            <w:rPr>
              <w:rFonts w:hint="default" w:ascii="Times New Roman" w:hAnsi="Times New Roman" w:eastAsia="宋体" w:cs="Times New Roman"/>
              <w:b w:val="0"/>
              <w:bCs w:val="0"/>
              <w:color w:val="auto"/>
              <w:sz w:val="28"/>
              <w:szCs w:val="28"/>
              <w:highlight w:val="none"/>
            </w:rPr>
            <w:fldChar w:fldCharType="separate"/>
          </w:r>
          <w:r>
            <w:rPr>
              <w:rFonts w:hint="default" w:ascii="Times New Roman" w:hAnsi="Times New Roman" w:eastAsia="宋体" w:cs="Times New Roman"/>
              <w:b w:val="0"/>
              <w:bCs w:val="0"/>
              <w:color w:val="auto"/>
              <w:sz w:val="28"/>
              <w:szCs w:val="28"/>
              <w:highlight w:val="none"/>
            </w:rPr>
            <w:t>15</w:t>
          </w:r>
          <w:r>
            <w:rPr>
              <w:rFonts w:hint="default" w:ascii="Times New Roman" w:hAnsi="Times New Roman" w:eastAsia="宋体" w:cs="Times New Roman"/>
              <w:b w:val="0"/>
              <w:bCs w:val="0"/>
              <w:color w:val="auto"/>
              <w:sz w:val="28"/>
              <w:szCs w:val="28"/>
              <w:highlight w:val="none"/>
            </w:rPr>
            <w:fldChar w:fldCharType="end"/>
          </w:r>
          <w:r>
            <w:rPr>
              <w:rFonts w:hint="default" w:ascii="Times New Roman" w:hAnsi="Times New Roman" w:eastAsia="宋体" w:cs="Times New Roman"/>
              <w:b w:val="0"/>
              <w:bCs w:val="0"/>
              <w:color w:val="auto"/>
              <w:sz w:val="28"/>
              <w:szCs w:val="28"/>
              <w:highlight w:val="none"/>
              <w:lang w:val="en-US" w:eastAsia="zh-CN"/>
            </w:rPr>
            <w:fldChar w:fldCharType="end"/>
          </w:r>
        </w:p>
        <w:p w14:paraId="1B69A946">
          <w:pPr>
            <w:pStyle w:val="29"/>
            <w:keepNext w:val="0"/>
            <w:keepLines w:val="0"/>
            <w:pageBreakBefore w:val="0"/>
            <w:widowControl w:val="0"/>
            <w:tabs>
              <w:tab w:val="right" w:leader="dot" w:pos="8504"/>
            </w:tabs>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color w:val="auto"/>
              <w:sz w:val="28"/>
              <w:szCs w:val="28"/>
              <w:highlight w:val="none"/>
            </w:rPr>
          </w:pPr>
          <w:r>
            <w:rPr>
              <w:rFonts w:hint="default" w:ascii="Times New Roman" w:hAnsi="Times New Roman" w:eastAsia="宋体" w:cs="Times New Roman"/>
              <w:b w:val="0"/>
              <w:bCs w:val="0"/>
              <w:color w:val="auto"/>
              <w:sz w:val="28"/>
              <w:szCs w:val="28"/>
              <w:highlight w:val="none"/>
              <w:lang w:val="en-US" w:eastAsia="zh-CN"/>
            </w:rPr>
            <w:fldChar w:fldCharType="begin"/>
          </w:r>
          <w:r>
            <w:rPr>
              <w:rFonts w:hint="default" w:ascii="Times New Roman" w:hAnsi="Times New Roman" w:eastAsia="宋体" w:cs="Times New Roman"/>
              <w:b w:val="0"/>
              <w:bCs w:val="0"/>
              <w:color w:val="auto"/>
              <w:sz w:val="28"/>
              <w:szCs w:val="28"/>
              <w:highlight w:val="none"/>
              <w:lang w:val="en-US" w:eastAsia="zh-CN"/>
            </w:rPr>
            <w:instrText xml:space="preserve"> HYPERLINK \l _Toc26339 </w:instrText>
          </w:r>
          <w:r>
            <w:rPr>
              <w:rFonts w:hint="default" w:ascii="Times New Roman" w:hAnsi="Times New Roman" w:eastAsia="宋体" w:cs="Times New Roman"/>
              <w:b w:val="0"/>
              <w:bCs w:val="0"/>
              <w:color w:val="auto"/>
              <w:sz w:val="28"/>
              <w:szCs w:val="28"/>
              <w:highlight w:val="none"/>
              <w:lang w:val="en-US" w:eastAsia="zh-CN"/>
            </w:rPr>
            <w:fldChar w:fldCharType="separate"/>
          </w:r>
          <w:r>
            <w:rPr>
              <w:rFonts w:hint="default" w:ascii="Times New Roman" w:hAnsi="Times New Roman" w:eastAsia="宋体" w:cs="Times New Roman"/>
              <w:b w:val="0"/>
              <w:bCs w:val="0"/>
              <w:snapToGrid w:val="0"/>
              <w:color w:val="auto"/>
              <w:sz w:val="28"/>
              <w:szCs w:val="28"/>
              <w:highlight w:val="none"/>
            </w:rPr>
            <w:t>四、生态环境影响分析</w:t>
          </w:r>
          <w:r>
            <w:rPr>
              <w:rFonts w:hint="default" w:ascii="Times New Roman" w:hAnsi="Times New Roman" w:eastAsia="宋体" w:cs="Times New Roman"/>
              <w:b w:val="0"/>
              <w:bCs w:val="0"/>
              <w:color w:val="auto"/>
              <w:sz w:val="28"/>
              <w:szCs w:val="28"/>
              <w:highlight w:val="none"/>
            </w:rPr>
            <w:tab/>
          </w:r>
          <w:r>
            <w:rPr>
              <w:rFonts w:hint="default" w:ascii="Times New Roman" w:hAnsi="Times New Roman" w:eastAsia="宋体" w:cs="Times New Roman"/>
              <w:b w:val="0"/>
              <w:bCs w:val="0"/>
              <w:color w:val="auto"/>
              <w:sz w:val="28"/>
              <w:szCs w:val="28"/>
              <w:highlight w:val="none"/>
            </w:rPr>
            <w:fldChar w:fldCharType="begin"/>
          </w:r>
          <w:r>
            <w:rPr>
              <w:rFonts w:hint="default" w:ascii="Times New Roman" w:hAnsi="Times New Roman" w:eastAsia="宋体" w:cs="Times New Roman"/>
              <w:b w:val="0"/>
              <w:bCs w:val="0"/>
              <w:color w:val="auto"/>
              <w:sz w:val="28"/>
              <w:szCs w:val="28"/>
              <w:highlight w:val="none"/>
            </w:rPr>
            <w:instrText xml:space="preserve"> PAGEREF _Toc26339 \h </w:instrText>
          </w:r>
          <w:r>
            <w:rPr>
              <w:rFonts w:hint="default" w:ascii="Times New Roman" w:hAnsi="Times New Roman" w:eastAsia="宋体" w:cs="Times New Roman"/>
              <w:b w:val="0"/>
              <w:bCs w:val="0"/>
              <w:color w:val="auto"/>
              <w:sz w:val="28"/>
              <w:szCs w:val="28"/>
              <w:highlight w:val="none"/>
            </w:rPr>
            <w:fldChar w:fldCharType="separate"/>
          </w:r>
          <w:r>
            <w:rPr>
              <w:rFonts w:hint="default" w:ascii="Times New Roman" w:hAnsi="Times New Roman" w:eastAsia="宋体" w:cs="Times New Roman"/>
              <w:b w:val="0"/>
              <w:bCs w:val="0"/>
              <w:color w:val="auto"/>
              <w:sz w:val="28"/>
              <w:szCs w:val="28"/>
              <w:highlight w:val="none"/>
            </w:rPr>
            <w:t>25</w:t>
          </w:r>
          <w:r>
            <w:rPr>
              <w:rFonts w:hint="default" w:ascii="Times New Roman" w:hAnsi="Times New Roman" w:eastAsia="宋体" w:cs="Times New Roman"/>
              <w:b w:val="0"/>
              <w:bCs w:val="0"/>
              <w:color w:val="auto"/>
              <w:sz w:val="28"/>
              <w:szCs w:val="28"/>
              <w:highlight w:val="none"/>
            </w:rPr>
            <w:fldChar w:fldCharType="end"/>
          </w:r>
          <w:r>
            <w:rPr>
              <w:rFonts w:hint="default" w:ascii="Times New Roman" w:hAnsi="Times New Roman" w:eastAsia="宋体" w:cs="Times New Roman"/>
              <w:b w:val="0"/>
              <w:bCs w:val="0"/>
              <w:color w:val="auto"/>
              <w:sz w:val="28"/>
              <w:szCs w:val="28"/>
              <w:highlight w:val="none"/>
              <w:lang w:val="en-US" w:eastAsia="zh-CN"/>
            </w:rPr>
            <w:fldChar w:fldCharType="end"/>
          </w:r>
        </w:p>
        <w:p w14:paraId="7D9A9DDB">
          <w:pPr>
            <w:pStyle w:val="29"/>
            <w:keepNext w:val="0"/>
            <w:keepLines w:val="0"/>
            <w:pageBreakBefore w:val="0"/>
            <w:widowControl w:val="0"/>
            <w:tabs>
              <w:tab w:val="right" w:leader="dot" w:pos="8504"/>
            </w:tabs>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color w:val="auto"/>
              <w:sz w:val="28"/>
              <w:szCs w:val="28"/>
              <w:highlight w:val="none"/>
            </w:rPr>
          </w:pPr>
          <w:r>
            <w:rPr>
              <w:rFonts w:hint="default" w:ascii="Times New Roman" w:hAnsi="Times New Roman" w:eastAsia="宋体" w:cs="Times New Roman"/>
              <w:b w:val="0"/>
              <w:bCs w:val="0"/>
              <w:color w:val="auto"/>
              <w:sz w:val="28"/>
              <w:szCs w:val="28"/>
              <w:highlight w:val="none"/>
              <w:lang w:val="en-US" w:eastAsia="zh-CN"/>
            </w:rPr>
            <w:fldChar w:fldCharType="begin"/>
          </w:r>
          <w:r>
            <w:rPr>
              <w:rFonts w:hint="default" w:ascii="Times New Roman" w:hAnsi="Times New Roman" w:eastAsia="宋体" w:cs="Times New Roman"/>
              <w:b w:val="0"/>
              <w:bCs w:val="0"/>
              <w:color w:val="auto"/>
              <w:sz w:val="28"/>
              <w:szCs w:val="28"/>
              <w:highlight w:val="none"/>
              <w:lang w:val="en-US" w:eastAsia="zh-CN"/>
            </w:rPr>
            <w:instrText xml:space="preserve"> HYPERLINK \l _Toc26406 </w:instrText>
          </w:r>
          <w:r>
            <w:rPr>
              <w:rFonts w:hint="default" w:ascii="Times New Roman" w:hAnsi="Times New Roman" w:eastAsia="宋体" w:cs="Times New Roman"/>
              <w:b w:val="0"/>
              <w:bCs w:val="0"/>
              <w:color w:val="auto"/>
              <w:sz w:val="28"/>
              <w:szCs w:val="28"/>
              <w:highlight w:val="none"/>
              <w:lang w:val="en-US" w:eastAsia="zh-CN"/>
            </w:rPr>
            <w:fldChar w:fldCharType="separate"/>
          </w:r>
          <w:r>
            <w:rPr>
              <w:rFonts w:hint="default" w:ascii="Times New Roman" w:hAnsi="Times New Roman" w:eastAsia="宋体" w:cs="Times New Roman"/>
              <w:b w:val="0"/>
              <w:bCs w:val="0"/>
              <w:snapToGrid w:val="0"/>
              <w:color w:val="auto"/>
              <w:sz w:val="28"/>
              <w:szCs w:val="28"/>
              <w:highlight w:val="none"/>
            </w:rPr>
            <w:t>五、主要生态环境保护措施</w:t>
          </w:r>
          <w:r>
            <w:rPr>
              <w:rFonts w:hint="default" w:ascii="Times New Roman" w:hAnsi="Times New Roman" w:eastAsia="宋体" w:cs="Times New Roman"/>
              <w:b w:val="0"/>
              <w:bCs w:val="0"/>
              <w:color w:val="auto"/>
              <w:sz w:val="28"/>
              <w:szCs w:val="28"/>
              <w:highlight w:val="none"/>
            </w:rPr>
            <w:tab/>
          </w:r>
          <w:r>
            <w:rPr>
              <w:rFonts w:hint="default" w:ascii="Times New Roman" w:hAnsi="Times New Roman" w:eastAsia="宋体" w:cs="Times New Roman"/>
              <w:b w:val="0"/>
              <w:bCs w:val="0"/>
              <w:color w:val="auto"/>
              <w:sz w:val="28"/>
              <w:szCs w:val="28"/>
              <w:highlight w:val="none"/>
            </w:rPr>
            <w:fldChar w:fldCharType="begin"/>
          </w:r>
          <w:r>
            <w:rPr>
              <w:rFonts w:hint="default" w:ascii="Times New Roman" w:hAnsi="Times New Roman" w:eastAsia="宋体" w:cs="Times New Roman"/>
              <w:b w:val="0"/>
              <w:bCs w:val="0"/>
              <w:color w:val="auto"/>
              <w:sz w:val="28"/>
              <w:szCs w:val="28"/>
              <w:highlight w:val="none"/>
            </w:rPr>
            <w:instrText xml:space="preserve"> PAGEREF _Toc26406 \h </w:instrText>
          </w:r>
          <w:r>
            <w:rPr>
              <w:rFonts w:hint="default" w:ascii="Times New Roman" w:hAnsi="Times New Roman" w:eastAsia="宋体" w:cs="Times New Roman"/>
              <w:b w:val="0"/>
              <w:bCs w:val="0"/>
              <w:color w:val="auto"/>
              <w:sz w:val="28"/>
              <w:szCs w:val="28"/>
              <w:highlight w:val="none"/>
            </w:rPr>
            <w:fldChar w:fldCharType="separate"/>
          </w:r>
          <w:r>
            <w:rPr>
              <w:rFonts w:hint="default" w:ascii="Times New Roman" w:hAnsi="Times New Roman" w:eastAsia="宋体" w:cs="Times New Roman"/>
              <w:b w:val="0"/>
              <w:bCs w:val="0"/>
              <w:color w:val="auto"/>
              <w:sz w:val="28"/>
              <w:szCs w:val="28"/>
              <w:highlight w:val="none"/>
            </w:rPr>
            <w:t>31</w:t>
          </w:r>
          <w:r>
            <w:rPr>
              <w:rFonts w:hint="default" w:ascii="Times New Roman" w:hAnsi="Times New Roman" w:eastAsia="宋体" w:cs="Times New Roman"/>
              <w:b w:val="0"/>
              <w:bCs w:val="0"/>
              <w:color w:val="auto"/>
              <w:sz w:val="28"/>
              <w:szCs w:val="28"/>
              <w:highlight w:val="none"/>
            </w:rPr>
            <w:fldChar w:fldCharType="end"/>
          </w:r>
          <w:r>
            <w:rPr>
              <w:rFonts w:hint="default" w:ascii="Times New Roman" w:hAnsi="Times New Roman" w:eastAsia="宋体" w:cs="Times New Roman"/>
              <w:b w:val="0"/>
              <w:bCs w:val="0"/>
              <w:color w:val="auto"/>
              <w:sz w:val="28"/>
              <w:szCs w:val="28"/>
              <w:highlight w:val="none"/>
              <w:lang w:val="en-US" w:eastAsia="zh-CN"/>
            </w:rPr>
            <w:fldChar w:fldCharType="end"/>
          </w:r>
        </w:p>
        <w:p w14:paraId="5799D278">
          <w:pPr>
            <w:pStyle w:val="29"/>
            <w:keepNext w:val="0"/>
            <w:keepLines w:val="0"/>
            <w:pageBreakBefore w:val="0"/>
            <w:widowControl w:val="0"/>
            <w:tabs>
              <w:tab w:val="right" w:leader="dot" w:pos="8504"/>
            </w:tabs>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color w:val="auto"/>
              <w:sz w:val="28"/>
              <w:szCs w:val="28"/>
              <w:highlight w:val="none"/>
            </w:rPr>
          </w:pPr>
          <w:r>
            <w:rPr>
              <w:rFonts w:hint="default" w:ascii="Times New Roman" w:hAnsi="Times New Roman" w:eastAsia="宋体" w:cs="Times New Roman"/>
              <w:b w:val="0"/>
              <w:bCs w:val="0"/>
              <w:color w:val="auto"/>
              <w:sz w:val="28"/>
              <w:szCs w:val="28"/>
              <w:highlight w:val="none"/>
              <w:lang w:val="en-US" w:eastAsia="zh-CN"/>
            </w:rPr>
            <w:fldChar w:fldCharType="begin"/>
          </w:r>
          <w:r>
            <w:rPr>
              <w:rFonts w:hint="default" w:ascii="Times New Roman" w:hAnsi="Times New Roman" w:eastAsia="宋体" w:cs="Times New Roman"/>
              <w:b w:val="0"/>
              <w:bCs w:val="0"/>
              <w:color w:val="auto"/>
              <w:sz w:val="28"/>
              <w:szCs w:val="28"/>
              <w:highlight w:val="none"/>
              <w:lang w:val="en-US" w:eastAsia="zh-CN"/>
            </w:rPr>
            <w:instrText xml:space="preserve"> HYPERLINK \l _Toc19941 </w:instrText>
          </w:r>
          <w:r>
            <w:rPr>
              <w:rFonts w:hint="default" w:ascii="Times New Roman" w:hAnsi="Times New Roman" w:eastAsia="宋体" w:cs="Times New Roman"/>
              <w:b w:val="0"/>
              <w:bCs w:val="0"/>
              <w:color w:val="auto"/>
              <w:sz w:val="28"/>
              <w:szCs w:val="28"/>
              <w:highlight w:val="none"/>
              <w:lang w:val="en-US" w:eastAsia="zh-CN"/>
            </w:rPr>
            <w:fldChar w:fldCharType="separate"/>
          </w:r>
          <w:r>
            <w:rPr>
              <w:rFonts w:hint="default" w:ascii="Times New Roman" w:hAnsi="Times New Roman" w:eastAsia="宋体" w:cs="Times New Roman"/>
              <w:b w:val="0"/>
              <w:bCs w:val="0"/>
              <w:snapToGrid w:val="0"/>
              <w:color w:val="auto"/>
              <w:sz w:val="28"/>
              <w:szCs w:val="28"/>
              <w:highlight w:val="none"/>
            </w:rPr>
            <w:t>六、生态环境保护措施监督检查清单</w:t>
          </w:r>
          <w:r>
            <w:rPr>
              <w:rFonts w:hint="default" w:ascii="Times New Roman" w:hAnsi="Times New Roman" w:eastAsia="宋体" w:cs="Times New Roman"/>
              <w:b w:val="0"/>
              <w:bCs w:val="0"/>
              <w:color w:val="auto"/>
              <w:sz w:val="28"/>
              <w:szCs w:val="28"/>
              <w:highlight w:val="none"/>
            </w:rPr>
            <w:tab/>
          </w:r>
          <w:r>
            <w:rPr>
              <w:rFonts w:hint="default" w:ascii="Times New Roman" w:hAnsi="Times New Roman" w:eastAsia="宋体" w:cs="Times New Roman"/>
              <w:b w:val="0"/>
              <w:bCs w:val="0"/>
              <w:color w:val="auto"/>
              <w:sz w:val="28"/>
              <w:szCs w:val="28"/>
              <w:highlight w:val="none"/>
            </w:rPr>
            <w:fldChar w:fldCharType="begin"/>
          </w:r>
          <w:r>
            <w:rPr>
              <w:rFonts w:hint="default" w:ascii="Times New Roman" w:hAnsi="Times New Roman" w:eastAsia="宋体" w:cs="Times New Roman"/>
              <w:b w:val="0"/>
              <w:bCs w:val="0"/>
              <w:color w:val="auto"/>
              <w:sz w:val="28"/>
              <w:szCs w:val="28"/>
              <w:highlight w:val="none"/>
            </w:rPr>
            <w:instrText xml:space="preserve"> PAGEREF _Toc19941 \h </w:instrText>
          </w:r>
          <w:r>
            <w:rPr>
              <w:rFonts w:hint="default" w:ascii="Times New Roman" w:hAnsi="Times New Roman" w:eastAsia="宋体" w:cs="Times New Roman"/>
              <w:b w:val="0"/>
              <w:bCs w:val="0"/>
              <w:color w:val="auto"/>
              <w:sz w:val="28"/>
              <w:szCs w:val="28"/>
              <w:highlight w:val="none"/>
            </w:rPr>
            <w:fldChar w:fldCharType="separate"/>
          </w:r>
          <w:r>
            <w:rPr>
              <w:rFonts w:hint="default" w:ascii="Times New Roman" w:hAnsi="Times New Roman" w:eastAsia="宋体" w:cs="Times New Roman"/>
              <w:b w:val="0"/>
              <w:bCs w:val="0"/>
              <w:color w:val="auto"/>
              <w:sz w:val="28"/>
              <w:szCs w:val="28"/>
              <w:highlight w:val="none"/>
            </w:rPr>
            <w:t>38</w:t>
          </w:r>
          <w:r>
            <w:rPr>
              <w:rFonts w:hint="default" w:ascii="Times New Roman" w:hAnsi="Times New Roman" w:eastAsia="宋体" w:cs="Times New Roman"/>
              <w:b w:val="0"/>
              <w:bCs w:val="0"/>
              <w:color w:val="auto"/>
              <w:sz w:val="28"/>
              <w:szCs w:val="28"/>
              <w:highlight w:val="none"/>
            </w:rPr>
            <w:fldChar w:fldCharType="end"/>
          </w:r>
          <w:r>
            <w:rPr>
              <w:rFonts w:hint="default" w:ascii="Times New Roman" w:hAnsi="Times New Roman" w:eastAsia="宋体" w:cs="Times New Roman"/>
              <w:b w:val="0"/>
              <w:bCs w:val="0"/>
              <w:color w:val="auto"/>
              <w:sz w:val="28"/>
              <w:szCs w:val="28"/>
              <w:highlight w:val="none"/>
              <w:lang w:val="en-US" w:eastAsia="zh-CN"/>
            </w:rPr>
            <w:fldChar w:fldCharType="end"/>
          </w:r>
        </w:p>
        <w:p w14:paraId="29F5EF8A">
          <w:pPr>
            <w:pStyle w:val="29"/>
            <w:keepNext w:val="0"/>
            <w:keepLines w:val="0"/>
            <w:pageBreakBefore w:val="0"/>
            <w:widowControl w:val="0"/>
            <w:tabs>
              <w:tab w:val="right" w:leader="dot" w:pos="8504"/>
            </w:tabs>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color w:val="auto"/>
              <w:kern w:val="2"/>
              <w:sz w:val="24"/>
              <w:szCs w:val="28"/>
              <w:highlight w:val="none"/>
              <w:lang w:val="en-US" w:eastAsia="zh-CN" w:bidi="ar-SA"/>
            </w:rPr>
          </w:pPr>
          <w:r>
            <w:rPr>
              <w:rFonts w:hint="default" w:ascii="Times New Roman" w:hAnsi="Times New Roman" w:eastAsia="宋体" w:cs="Times New Roman"/>
              <w:b w:val="0"/>
              <w:bCs w:val="0"/>
              <w:color w:val="auto"/>
              <w:sz w:val="28"/>
              <w:szCs w:val="28"/>
              <w:highlight w:val="none"/>
              <w:lang w:val="en-US" w:eastAsia="zh-CN"/>
            </w:rPr>
            <w:fldChar w:fldCharType="begin"/>
          </w:r>
          <w:r>
            <w:rPr>
              <w:rFonts w:hint="default" w:ascii="Times New Roman" w:hAnsi="Times New Roman" w:eastAsia="宋体" w:cs="Times New Roman"/>
              <w:b w:val="0"/>
              <w:bCs w:val="0"/>
              <w:color w:val="auto"/>
              <w:sz w:val="28"/>
              <w:szCs w:val="28"/>
              <w:highlight w:val="none"/>
              <w:lang w:val="en-US" w:eastAsia="zh-CN"/>
            </w:rPr>
            <w:instrText xml:space="preserve"> HYPERLINK \l _Toc28221 </w:instrText>
          </w:r>
          <w:r>
            <w:rPr>
              <w:rFonts w:hint="default" w:ascii="Times New Roman" w:hAnsi="Times New Roman" w:eastAsia="宋体" w:cs="Times New Roman"/>
              <w:b w:val="0"/>
              <w:bCs w:val="0"/>
              <w:color w:val="auto"/>
              <w:sz w:val="28"/>
              <w:szCs w:val="28"/>
              <w:highlight w:val="none"/>
              <w:lang w:val="en-US" w:eastAsia="zh-CN"/>
            </w:rPr>
            <w:fldChar w:fldCharType="separate"/>
          </w:r>
          <w:r>
            <w:rPr>
              <w:rFonts w:hint="default" w:ascii="Times New Roman" w:hAnsi="Times New Roman" w:eastAsia="宋体" w:cs="Times New Roman"/>
              <w:b w:val="0"/>
              <w:bCs w:val="0"/>
              <w:snapToGrid w:val="0"/>
              <w:color w:val="auto"/>
              <w:sz w:val="28"/>
              <w:szCs w:val="28"/>
              <w:highlight w:val="none"/>
            </w:rPr>
            <w:t>七、结论</w:t>
          </w:r>
          <w:r>
            <w:rPr>
              <w:rFonts w:hint="default" w:ascii="Times New Roman" w:hAnsi="Times New Roman" w:eastAsia="宋体" w:cs="Times New Roman"/>
              <w:b w:val="0"/>
              <w:bCs w:val="0"/>
              <w:color w:val="auto"/>
              <w:sz w:val="28"/>
              <w:szCs w:val="28"/>
              <w:highlight w:val="none"/>
            </w:rPr>
            <w:tab/>
          </w:r>
          <w:r>
            <w:rPr>
              <w:rFonts w:hint="default" w:ascii="Times New Roman" w:hAnsi="Times New Roman" w:eastAsia="宋体" w:cs="Times New Roman"/>
              <w:b w:val="0"/>
              <w:bCs w:val="0"/>
              <w:color w:val="auto"/>
              <w:sz w:val="28"/>
              <w:szCs w:val="28"/>
              <w:highlight w:val="none"/>
            </w:rPr>
            <w:fldChar w:fldCharType="begin"/>
          </w:r>
          <w:r>
            <w:rPr>
              <w:rFonts w:hint="default" w:ascii="Times New Roman" w:hAnsi="Times New Roman" w:eastAsia="宋体" w:cs="Times New Roman"/>
              <w:b w:val="0"/>
              <w:bCs w:val="0"/>
              <w:color w:val="auto"/>
              <w:sz w:val="28"/>
              <w:szCs w:val="28"/>
              <w:highlight w:val="none"/>
            </w:rPr>
            <w:instrText xml:space="preserve"> PAGEREF _Toc28221 \h </w:instrText>
          </w:r>
          <w:r>
            <w:rPr>
              <w:rFonts w:hint="default" w:ascii="Times New Roman" w:hAnsi="Times New Roman" w:eastAsia="宋体" w:cs="Times New Roman"/>
              <w:b w:val="0"/>
              <w:bCs w:val="0"/>
              <w:color w:val="auto"/>
              <w:sz w:val="28"/>
              <w:szCs w:val="28"/>
              <w:highlight w:val="none"/>
            </w:rPr>
            <w:fldChar w:fldCharType="separate"/>
          </w:r>
          <w:r>
            <w:rPr>
              <w:rFonts w:hint="default" w:ascii="Times New Roman" w:hAnsi="Times New Roman" w:eastAsia="宋体" w:cs="Times New Roman"/>
              <w:b w:val="0"/>
              <w:bCs w:val="0"/>
              <w:color w:val="auto"/>
              <w:sz w:val="28"/>
              <w:szCs w:val="28"/>
              <w:highlight w:val="none"/>
            </w:rPr>
            <w:t>43</w:t>
          </w:r>
          <w:r>
            <w:rPr>
              <w:rFonts w:hint="default" w:ascii="Times New Roman" w:hAnsi="Times New Roman" w:eastAsia="宋体" w:cs="Times New Roman"/>
              <w:b w:val="0"/>
              <w:bCs w:val="0"/>
              <w:color w:val="auto"/>
              <w:sz w:val="28"/>
              <w:szCs w:val="28"/>
              <w:highlight w:val="none"/>
            </w:rPr>
            <w:fldChar w:fldCharType="end"/>
          </w:r>
          <w:r>
            <w:rPr>
              <w:rFonts w:hint="default" w:ascii="Times New Roman" w:hAnsi="Times New Roman" w:eastAsia="宋体" w:cs="Times New Roman"/>
              <w:b w:val="0"/>
              <w:bCs w:val="0"/>
              <w:color w:val="auto"/>
              <w:sz w:val="28"/>
              <w:szCs w:val="28"/>
              <w:highlight w:val="none"/>
              <w:lang w:val="en-US" w:eastAsia="zh-CN"/>
            </w:rPr>
            <w:fldChar w:fldCharType="end"/>
          </w:r>
          <w:r>
            <w:rPr>
              <w:rFonts w:hint="default" w:ascii="Times New Roman" w:hAnsi="Times New Roman" w:eastAsia="宋体" w:cs="Times New Roman"/>
              <w:color w:val="auto"/>
              <w:szCs w:val="28"/>
              <w:highlight w:val="none"/>
              <w:lang w:val="en-US" w:eastAsia="zh-CN"/>
            </w:rPr>
            <w:fldChar w:fldCharType="end"/>
          </w:r>
        </w:p>
      </w:sdtContent>
    </w:sdt>
    <w:p w14:paraId="5AF34C5C">
      <w:pPr>
        <w:pStyle w:val="29"/>
        <w:tabs>
          <w:tab w:val="right" w:leader="dot" w:pos="8494"/>
        </w:tabs>
        <w:spacing w:line="480" w:lineRule="auto"/>
        <w:rPr>
          <w:rStyle w:val="50"/>
          <w:rFonts w:ascii="宋体" w:hAnsi="宋体"/>
          <w:snapToGrid w:val="0"/>
          <w:color w:val="auto"/>
          <w:sz w:val="28"/>
          <w:szCs w:val="28"/>
          <w:highlight w:val="none"/>
        </w:rPr>
      </w:pPr>
      <w:r>
        <w:rPr>
          <w:color w:val="auto"/>
          <w:highlight w:val="none"/>
        </w:rPr>
        <w:fldChar w:fldCharType="begin"/>
      </w:r>
      <w:r>
        <w:rPr>
          <w:color w:val="auto"/>
          <w:highlight w:val="none"/>
        </w:rPr>
        <w:instrText xml:space="preserve"> HYPERLINK \l "_Toc79488357" </w:instrText>
      </w:r>
      <w:r>
        <w:rPr>
          <w:color w:val="auto"/>
          <w:highlight w:val="none"/>
        </w:rPr>
        <w:fldChar w:fldCharType="separate"/>
      </w:r>
      <w:r>
        <w:rPr>
          <w:rStyle w:val="50"/>
          <w:rFonts w:hint="eastAsia" w:ascii="宋体" w:hAnsi="宋体"/>
          <w:snapToGrid w:val="0"/>
          <w:color w:val="auto"/>
          <w:sz w:val="28"/>
          <w:szCs w:val="28"/>
          <w:highlight w:val="none"/>
        </w:rPr>
        <w:t>专题</w:t>
      </w:r>
      <w:r>
        <w:rPr>
          <w:rStyle w:val="50"/>
          <w:rFonts w:hint="eastAsia" w:ascii="宋体" w:hAnsi="宋体"/>
          <w:snapToGrid w:val="0"/>
          <w:color w:val="auto"/>
          <w:sz w:val="28"/>
          <w:szCs w:val="28"/>
          <w:highlight w:val="none"/>
        </w:rPr>
        <w:fldChar w:fldCharType="end"/>
      </w:r>
    </w:p>
    <w:p w14:paraId="42C54D59">
      <w:pPr>
        <w:pStyle w:val="29"/>
        <w:tabs>
          <w:tab w:val="right" w:leader="dot" w:pos="8494"/>
        </w:tabs>
        <w:spacing w:line="480" w:lineRule="auto"/>
        <w:rPr>
          <w:rStyle w:val="50"/>
          <w:rFonts w:ascii="宋体" w:hAnsi="宋体"/>
          <w:snapToGrid w:val="0"/>
          <w:color w:val="auto"/>
          <w:sz w:val="28"/>
          <w:szCs w:val="28"/>
          <w:highlight w:val="none"/>
        </w:rPr>
      </w:pPr>
      <w:r>
        <w:rPr>
          <w:color w:val="auto"/>
          <w:highlight w:val="none"/>
        </w:rPr>
        <w:fldChar w:fldCharType="begin"/>
      </w:r>
      <w:r>
        <w:rPr>
          <w:color w:val="auto"/>
          <w:highlight w:val="none"/>
        </w:rPr>
        <w:instrText xml:space="preserve"> HYPERLINK \l "_Toc79488358" </w:instrText>
      </w:r>
      <w:r>
        <w:rPr>
          <w:color w:val="auto"/>
          <w:highlight w:val="none"/>
        </w:rPr>
        <w:fldChar w:fldCharType="separate"/>
      </w:r>
      <w:r>
        <w:rPr>
          <w:rStyle w:val="50"/>
          <w:rFonts w:hint="eastAsia" w:ascii="宋体" w:hAnsi="宋体"/>
          <w:snapToGrid w:val="0"/>
          <w:color w:val="auto"/>
          <w:sz w:val="28"/>
          <w:szCs w:val="28"/>
          <w:highlight w:val="none"/>
        </w:rPr>
        <w:t>附件</w:t>
      </w:r>
      <w:r>
        <w:rPr>
          <w:rStyle w:val="50"/>
          <w:rFonts w:hint="eastAsia" w:ascii="宋体" w:hAnsi="宋体"/>
          <w:snapToGrid w:val="0"/>
          <w:color w:val="auto"/>
          <w:sz w:val="28"/>
          <w:szCs w:val="28"/>
          <w:highlight w:val="none"/>
        </w:rPr>
        <w:fldChar w:fldCharType="end"/>
      </w:r>
    </w:p>
    <w:p w14:paraId="263526B3">
      <w:pPr>
        <w:pStyle w:val="29"/>
        <w:tabs>
          <w:tab w:val="right" w:leader="dot" w:pos="8494"/>
        </w:tabs>
        <w:spacing w:line="480" w:lineRule="auto"/>
        <w:rPr>
          <w:rStyle w:val="50"/>
          <w:rFonts w:ascii="宋体" w:hAnsi="宋体"/>
          <w:snapToGrid w:val="0"/>
          <w:color w:val="auto"/>
          <w:sz w:val="28"/>
          <w:szCs w:val="28"/>
          <w:highlight w:val="none"/>
        </w:rPr>
      </w:pPr>
      <w:r>
        <w:rPr>
          <w:color w:val="auto"/>
          <w:highlight w:val="none"/>
        </w:rPr>
        <w:fldChar w:fldCharType="begin"/>
      </w:r>
      <w:r>
        <w:rPr>
          <w:color w:val="auto"/>
          <w:highlight w:val="none"/>
        </w:rPr>
        <w:instrText xml:space="preserve"> HYPERLINK \l "_Toc79488359" </w:instrText>
      </w:r>
      <w:r>
        <w:rPr>
          <w:color w:val="auto"/>
          <w:highlight w:val="none"/>
        </w:rPr>
        <w:fldChar w:fldCharType="separate"/>
      </w:r>
      <w:r>
        <w:rPr>
          <w:rStyle w:val="50"/>
          <w:rFonts w:hint="eastAsia" w:ascii="宋体" w:hAnsi="宋体"/>
          <w:snapToGrid w:val="0"/>
          <w:color w:val="auto"/>
          <w:sz w:val="28"/>
          <w:szCs w:val="28"/>
          <w:highlight w:val="none"/>
        </w:rPr>
        <w:t>附图</w:t>
      </w:r>
      <w:r>
        <w:rPr>
          <w:rStyle w:val="50"/>
          <w:rFonts w:hint="eastAsia" w:ascii="宋体" w:hAnsi="宋体"/>
          <w:snapToGrid w:val="0"/>
          <w:color w:val="auto"/>
          <w:sz w:val="28"/>
          <w:szCs w:val="28"/>
          <w:highlight w:val="none"/>
        </w:rPr>
        <w:fldChar w:fldCharType="end"/>
      </w:r>
    </w:p>
    <w:p w14:paraId="601A72EC">
      <w:pPr>
        <w:pStyle w:val="29"/>
        <w:tabs>
          <w:tab w:val="right" w:leader="dot" w:pos="8494"/>
        </w:tabs>
        <w:rPr>
          <w:rStyle w:val="50"/>
          <w:rFonts w:eastAsia="黑体"/>
          <w:snapToGrid w:val="0"/>
          <w:color w:val="auto"/>
          <w:highlight w:val="none"/>
          <w:u w:val="none"/>
        </w:rPr>
      </w:pPr>
      <w:r>
        <w:rPr>
          <w:color w:val="auto"/>
          <w:sz w:val="28"/>
          <w:szCs w:val="28"/>
          <w:highlight w:val="none"/>
        </w:rPr>
        <w:fldChar w:fldCharType="end"/>
      </w:r>
    </w:p>
    <w:p w14:paraId="71B7B607">
      <w:pPr>
        <w:pStyle w:val="110"/>
        <w:rPr>
          <w:rFonts w:ascii="Times New Roman" w:cs="Times New Roman"/>
          <w:color w:val="auto"/>
          <w:highlight w:val="none"/>
        </w:rPr>
      </w:pPr>
    </w:p>
    <w:p w14:paraId="2FCF12C5">
      <w:pPr>
        <w:pStyle w:val="110"/>
        <w:rPr>
          <w:rFonts w:ascii="Times New Roman" w:cs="Times New Roman"/>
          <w:color w:val="auto"/>
          <w:highlight w:val="none"/>
        </w:rPr>
      </w:pPr>
    </w:p>
    <w:p w14:paraId="360FDC85">
      <w:pPr>
        <w:pStyle w:val="110"/>
        <w:rPr>
          <w:rFonts w:ascii="Times New Roman" w:cs="Times New Roman"/>
          <w:color w:val="auto"/>
          <w:highlight w:val="none"/>
        </w:rPr>
      </w:pPr>
    </w:p>
    <w:p w14:paraId="198BA2B3">
      <w:pPr>
        <w:pStyle w:val="110"/>
        <w:rPr>
          <w:rFonts w:ascii="Times New Roman" w:cs="Times New Roman"/>
          <w:color w:val="auto"/>
          <w:highlight w:val="none"/>
        </w:rPr>
      </w:pPr>
    </w:p>
    <w:p w14:paraId="1CED7257">
      <w:pPr>
        <w:pStyle w:val="110"/>
        <w:rPr>
          <w:rFonts w:ascii="Times New Roman" w:cs="Times New Roman"/>
          <w:color w:val="auto"/>
          <w:highlight w:val="none"/>
        </w:rPr>
      </w:pPr>
    </w:p>
    <w:p w14:paraId="56E60C22">
      <w:pPr>
        <w:pStyle w:val="110"/>
        <w:rPr>
          <w:rFonts w:ascii="Times New Roman" w:cs="Times New Roman"/>
          <w:color w:val="auto"/>
          <w:highlight w:val="none"/>
        </w:rPr>
      </w:pPr>
    </w:p>
    <w:p w14:paraId="22F19D97">
      <w:pPr>
        <w:pStyle w:val="110"/>
        <w:rPr>
          <w:rFonts w:ascii="Times New Roman" w:cs="Times New Roman"/>
          <w:color w:val="auto"/>
          <w:highlight w:val="none"/>
        </w:rPr>
      </w:pPr>
    </w:p>
    <w:p w14:paraId="6402CDDA">
      <w:pPr>
        <w:pStyle w:val="110"/>
        <w:rPr>
          <w:rFonts w:ascii="Times New Roman" w:cs="Times New Roman"/>
          <w:color w:val="auto"/>
          <w:highlight w:val="none"/>
        </w:rPr>
      </w:pPr>
    </w:p>
    <w:p w14:paraId="583BDF28">
      <w:pPr>
        <w:pStyle w:val="110"/>
        <w:rPr>
          <w:rFonts w:ascii="Times New Roman" w:cs="Times New Roman"/>
          <w:color w:val="auto"/>
          <w:highlight w:val="none"/>
        </w:rPr>
      </w:pPr>
    </w:p>
    <w:p w14:paraId="389288B2">
      <w:pPr>
        <w:pStyle w:val="110"/>
        <w:rPr>
          <w:rFonts w:ascii="Times New Roman" w:cs="Times New Roman"/>
          <w:color w:val="auto"/>
          <w:highlight w:val="none"/>
        </w:rPr>
      </w:pPr>
    </w:p>
    <w:p w14:paraId="1196784A">
      <w:pPr>
        <w:pStyle w:val="110"/>
        <w:rPr>
          <w:rFonts w:ascii="Times New Roman" w:cs="Times New Roman"/>
          <w:color w:val="auto"/>
          <w:highlight w:val="none"/>
        </w:rPr>
      </w:pPr>
    </w:p>
    <w:p w14:paraId="46C41460">
      <w:pPr>
        <w:pStyle w:val="110"/>
        <w:rPr>
          <w:rFonts w:ascii="Times New Roman" w:cs="Times New Roman"/>
          <w:color w:val="auto"/>
          <w:highlight w:val="none"/>
        </w:rPr>
      </w:pPr>
    </w:p>
    <w:p w14:paraId="55289DC6">
      <w:pPr>
        <w:pStyle w:val="110"/>
        <w:rPr>
          <w:rFonts w:ascii="Times New Roman" w:cs="Times New Roman"/>
          <w:color w:val="auto"/>
          <w:highlight w:val="none"/>
        </w:rPr>
      </w:pPr>
    </w:p>
    <w:p w14:paraId="40CDF8C4">
      <w:pPr>
        <w:pStyle w:val="110"/>
        <w:rPr>
          <w:rFonts w:ascii="Times New Roman" w:cs="Times New Roman"/>
          <w:color w:val="auto"/>
          <w:highlight w:val="none"/>
        </w:rPr>
      </w:pPr>
    </w:p>
    <w:p w14:paraId="22F8C869">
      <w:pPr>
        <w:pStyle w:val="110"/>
        <w:rPr>
          <w:rFonts w:ascii="Times New Roman" w:cs="Times New Roman"/>
          <w:color w:val="auto"/>
          <w:highlight w:val="none"/>
        </w:rPr>
      </w:pPr>
    </w:p>
    <w:p w14:paraId="112ADE77">
      <w:pPr>
        <w:pStyle w:val="110"/>
        <w:rPr>
          <w:rFonts w:ascii="Times New Roman" w:cs="Times New Roman"/>
          <w:color w:val="auto"/>
          <w:highlight w:val="none"/>
        </w:rPr>
      </w:pPr>
    </w:p>
    <w:p w14:paraId="259E28B7">
      <w:pPr>
        <w:pStyle w:val="110"/>
        <w:rPr>
          <w:rFonts w:ascii="Times New Roman" w:cs="Times New Roman"/>
          <w:color w:val="auto"/>
          <w:highlight w:val="none"/>
        </w:rPr>
      </w:pPr>
    </w:p>
    <w:p w14:paraId="5CBABACB">
      <w:pPr>
        <w:pStyle w:val="110"/>
        <w:rPr>
          <w:rFonts w:ascii="Times New Roman" w:cs="Times New Roman"/>
          <w:color w:val="auto"/>
          <w:highlight w:val="none"/>
        </w:rPr>
      </w:pPr>
    </w:p>
    <w:p w14:paraId="7875FCA9">
      <w:pPr>
        <w:pStyle w:val="110"/>
        <w:rPr>
          <w:rFonts w:ascii="Times New Roman" w:cs="Times New Roman"/>
          <w:color w:val="auto"/>
          <w:highlight w:val="none"/>
        </w:rPr>
      </w:pPr>
    </w:p>
    <w:p w14:paraId="1C5736F0">
      <w:pPr>
        <w:pStyle w:val="110"/>
        <w:rPr>
          <w:rFonts w:ascii="Times New Roman" w:cs="Times New Roman"/>
          <w:color w:val="auto"/>
          <w:highlight w:val="none"/>
        </w:rPr>
      </w:pPr>
    </w:p>
    <w:p w14:paraId="376BEB3A">
      <w:pPr>
        <w:pStyle w:val="2"/>
        <w:rPr>
          <w:rFonts w:eastAsia="宋体"/>
          <w:bCs w:val="0"/>
          <w:color w:val="auto"/>
          <w:highlight w:val="none"/>
        </w:rPr>
      </w:pPr>
      <w:bookmarkStart w:id="2" w:name="_Toc3692"/>
      <w:bookmarkStart w:id="3" w:name="_Toc79488357"/>
      <w:r>
        <w:rPr>
          <w:rFonts w:hint="eastAsia" w:eastAsia="宋体"/>
          <w:bCs w:val="0"/>
          <w:color w:val="auto"/>
          <w:highlight w:val="none"/>
        </w:rPr>
        <w:t>专题</w:t>
      </w:r>
      <w:r>
        <w:rPr>
          <w:rFonts w:eastAsia="宋体"/>
          <w:bCs w:val="0"/>
          <w:color w:val="auto"/>
          <w:highlight w:val="none"/>
        </w:rPr>
        <w:t>：</w:t>
      </w:r>
      <w:bookmarkEnd w:id="2"/>
      <w:bookmarkEnd w:id="3"/>
    </w:p>
    <w:p w14:paraId="422BEB42">
      <w:pPr>
        <w:pStyle w:val="120"/>
        <w:keepNext w:val="0"/>
        <w:keepLines w:val="0"/>
        <w:pageBreakBefore w:val="0"/>
        <w:widowControl w:val="0"/>
        <w:kinsoku/>
        <w:wordWrap/>
        <w:overflowPunct/>
        <w:topLinePunct w:val="0"/>
        <w:autoSpaceDE/>
        <w:autoSpaceDN/>
        <w:bidi w:val="0"/>
        <w:adjustRightInd/>
        <w:snapToGrid/>
        <w:spacing w:line="288" w:lineRule="auto"/>
        <w:ind w:firstLine="480"/>
        <w:textAlignment w:val="auto"/>
        <w:rPr>
          <w:color w:val="auto"/>
          <w:highlight w:val="none"/>
        </w:rPr>
      </w:pPr>
      <w:r>
        <w:rPr>
          <w:color w:val="auto"/>
          <w:highlight w:val="none"/>
        </w:rPr>
        <w:t>电磁环境影响专题评价</w:t>
      </w:r>
    </w:p>
    <w:p w14:paraId="29ED1EFD">
      <w:pPr>
        <w:pStyle w:val="2"/>
        <w:rPr>
          <w:rFonts w:eastAsia="宋体"/>
          <w:bCs w:val="0"/>
          <w:color w:val="auto"/>
          <w:highlight w:val="none"/>
        </w:rPr>
      </w:pPr>
      <w:bookmarkStart w:id="4" w:name="_Toc7903"/>
      <w:bookmarkStart w:id="5" w:name="_Toc79488358"/>
      <w:r>
        <w:rPr>
          <w:rFonts w:eastAsia="宋体"/>
          <w:bCs w:val="0"/>
          <w:color w:val="auto"/>
          <w:highlight w:val="none"/>
        </w:rPr>
        <w:t>附件</w:t>
      </w:r>
      <w:bookmarkEnd w:id="4"/>
      <w:bookmarkEnd w:id="5"/>
    </w:p>
    <w:p w14:paraId="08CAABDA">
      <w:pPr>
        <w:keepNext w:val="0"/>
        <w:keepLines w:val="0"/>
        <w:pageBreakBefore w:val="0"/>
        <w:widowControl w:val="0"/>
        <w:tabs>
          <w:tab w:val="left" w:pos="3960"/>
        </w:tabs>
        <w:kinsoku/>
        <w:wordWrap/>
        <w:overflowPunct/>
        <w:topLinePunct w:val="0"/>
        <w:autoSpaceDE/>
        <w:autoSpaceDN/>
        <w:bidi w:val="0"/>
        <w:adjustRightInd/>
        <w:snapToGrid/>
        <w:spacing w:line="360" w:lineRule="auto"/>
        <w:ind w:firstLine="480" w:firstLineChars="200"/>
        <w:textAlignment w:val="auto"/>
        <w:rPr>
          <w:color w:val="auto"/>
          <w:sz w:val="24"/>
          <w:highlight w:val="none"/>
        </w:rPr>
      </w:pPr>
      <w:r>
        <w:rPr>
          <w:color w:val="auto"/>
          <w:sz w:val="24"/>
          <w:highlight w:val="none"/>
        </w:rPr>
        <w:t>附件1：委托函</w:t>
      </w:r>
    </w:p>
    <w:p w14:paraId="622F78CD">
      <w:pPr>
        <w:keepNext w:val="0"/>
        <w:keepLines w:val="0"/>
        <w:pageBreakBefore w:val="0"/>
        <w:widowControl w:val="0"/>
        <w:tabs>
          <w:tab w:val="left" w:pos="3960"/>
        </w:tabs>
        <w:kinsoku/>
        <w:wordWrap/>
        <w:overflowPunct/>
        <w:topLinePunct w:val="0"/>
        <w:autoSpaceDE/>
        <w:autoSpaceDN/>
        <w:bidi w:val="0"/>
        <w:adjustRightInd/>
        <w:snapToGrid/>
        <w:spacing w:line="360" w:lineRule="auto"/>
        <w:ind w:firstLine="480" w:firstLineChars="200"/>
        <w:textAlignment w:val="auto"/>
        <w:rPr>
          <w:color w:val="auto"/>
          <w:sz w:val="24"/>
          <w:highlight w:val="none"/>
        </w:rPr>
      </w:pPr>
      <w:r>
        <w:rPr>
          <w:color w:val="auto"/>
          <w:sz w:val="24"/>
          <w:highlight w:val="none"/>
        </w:rPr>
        <w:t>附件2：</w:t>
      </w:r>
      <w:r>
        <w:rPr>
          <w:rFonts w:hint="eastAsia"/>
          <w:color w:val="auto"/>
          <w:sz w:val="24"/>
          <w:highlight w:val="none"/>
        </w:rPr>
        <w:t>关于白沙变T接茅洲~柳北110千伏线路工程项目核准的批复</w:t>
      </w:r>
    </w:p>
    <w:p w14:paraId="7CF141E4">
      <w:pPr>
        <w:keepNext w:val="0"/>
        <w:keepLines w:val="0"/>
        <w:pageBreakBefore w:val="0"/>
        <w:widowControl w:val="0"/>
        <w:tabs>
          <w:tab w:val="left" w:pos="3960"/>
        </w:tabs>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color w:val="auto"/>
          <w:sz w:val="24"/>
          <w:highlight w:val="none"/>
        </w:rPr>
        <w:t>附件3：</w:t>
      </w:r>
      <w:r>
        <w:rPr>
          <w:rFonts w:hint="eastAsia"/>
          <w:color w:val="auto"/>
          <w:sz w:val="24"/>
          <w:highlight w:val="none"/>
        </w:rPr>
        <w:t>关于柳州市白沙变T接茅洲~柳北110kV线路工程可行性研究报告的批复</w:t>
      </w:r>
    </w:p>
    <w:p w14:paraId="110729F5">
      <w:pPr>
        <w:keepNext w:val="0"/>
        <w:keepLines w:val="0"/>
        <w:pageBreakBefore w:val="0"/>
        <w:widowControl w:val="0"/>
        <w:tabs>
          <w:tab w:val="left" w:pos="3960"/>
        </w:tabs>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附件4：柳州市自然资源和规划局关于白沙变T接茅洲~柳北110千伏线路工程线路路径走向规划意见的函</w:t>
      </w:r>
    </w:p>
    <w:p w14:paraId="7F4FCF4E">
      <w:pPr>
        <w:keepNext w:val="0"/>
        <w:keepLines w:val="0"/>
        <w:pageBreakBefore w:val="0"/>
        <w:widowControl w:val="0"/>
        <w:tabs>
          <w:tab w:val="left" w:pos="3960"/>
        </w:tabs>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附件</w:t>
      </w:r>
      <w:r>
        <w:rPr>
          <w:rFonts w:hint="eastAsia"/>
          <w:color w:val="auto"/>
          <w:sz w:val="24"/>
          <w:highlight w:val="none"/>
          <w:lang w:val="en-US" w:eastAsia="zh-CN"/>
        </w:rPr>
        <w:t>5</w:t>
      </w:r>
      <w:r>
        <w:rPr>
          <w:rFonts w:hint="eastAsia"/>
          <w:color w:val="auto"/>
          <w:sz w:val="24"/>
          <w:highlight w:val="none"/>
        </w:rPr>
        <w:t>：关于</w:t>
      </w:r>
      <w:r>
        <w:rPr>
          <w:rFonts w:hint="eastAsia"/>
          <w:color w:val="auto"/>
          <w:sz w:val="24"/>
          <w:highlight w:val="none"/>
          <w:lang w:eastAsia="zh-CN"/>
        </w:rPr>
        <w:t>白沙变T接茅洲~柳北110千伏线路工程项目</w:t>
      </w:r>
      <w:r>
        <w:rPr>
          <w:rFonts w:hint="eastAsia"/>
          <w:color w:val="auto"/>
          <w:sz w:val="24"/>
          <w:highlight w:val="none"/>
        </w:rPr>
        <w:t>研判初步结论</w:t>
      </w:r>
    </w:p>
    <w:p w14:paraId="03B3C39E">
      <w:pPr>
        <w:keepNext w:val="0"/>
        <w:keepLines w:val="0"/>
        <w:pageBreakBefore w:val="0"/>
        <w:widowControl w:val="0"/>
        <w:tabs>
          <w:tab w:val="left" w:pos="3960"/>
        </w:tabs>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附件6：前期环评手续</w:t>
      </w:r>
    </w:p>
    <w:p w14:paraId="4E575A87">
      <w:pPr>
        <w:keepNext w:val="0"/>
        <w:keepLines w:val="0"/>
        <w:pageBreakBefore w:val="0"/>
        <w:widowControl w:val="0"/>
        <w:tabs>
          <w:tab w:val="left" w:pos="3960"/>
        </w:tabs>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附件7：电缆线路类比检测报告</w:t>
      </w:r>
    </w:p>
    <w:p w14:paraId="36FC19B4">
      <w:pPr>
        <w:keepNext w:val="0"/>
        <w:keepLines w:val="0"/>
        <w:pageBreakBefore w:val="0"/>
        <w:widowControl w:val="0"/>
        <w:tabs>
          <w:tab w:val="left" w:pos="3960"/>
        </w:tabs>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附件</w:t>
      </w:r>
      <w:r>
        <w:rPr>
          <w:rFonts w:hint="eastAsia"/>
          <w:color w:val="auto"/>
          <w:sz w:val="24"/>
          <w:highlight w:val="none"/>
          <w:lang w:val="en-US" w:eastAsia="zh-CN"/>
        </w:rPr>
        <w:t>8</w:t>
      </w:r>
      <w:r>
        <w:rPr>
          <w:rFonts w:hint="eastAsia"/>
          <w:color w:val="auto"/>
          <w:sz w:val="24"/>
          <w:highlight w:val="none"/>
        </w:rPr>
        <w:t>：本项目检测报告</w:t>
      </w:r>
    </w:p>
    <w:p w14:paraId="588EA052">
      <w:pPr>
        <w:pStyle w:val="2"/>
        <w:rPr>
          <w:rFonts w:eastAsia="宋体"/>
          <w:bCs w:val="0"/>
          <w:color w:val="auto"/>
          <w:highlight w:val="none"/>
        </w:rPr>
      </w:pPr>
      <w:bookmarkStart w:id="6" w:name="_Toc79488359"/>
      <w:bookmarkStart w:id="7" w:name="_Toc11536"/>
      <w:r>
        <w:rPr>
          <w:rFonts w:eastAsia="宋体"/>
          <w:bCs w:val="0"/>
          <w:color w:val="auto"/>
          <w:highlight w:val="none"/>
        </w:rPr>
        <w:t>附</w:t>
      </w:r>
      <w:r>
        <w:rPr>
          <w:rFonts w:hint="eastAsia" w:eastAsia="宋体"/>
          <w:bCs w:val="0"/>
          <w:color w:val="auto"/>
          <w:highlight w:val="none"/>
        </w:rPr>
        <w:t>图</w:t>
      </w:r>
      <w:bookmarkEnd w:id="6"/>
      <w:bookmarkEnd w:id="7"/>
    </w:p>
    <w:p w14:paraId="72A94400">
      <w:pPr>
        <w:keepNext w:val="0"/>
        <w:keepLines w:val="0"/>
        <w:pageBreakBefore w:val="0"/>
        <w:widowControl w:val="0"/>
        <w:tabs>
          <w:tab w:val="left" w:pos="3960"/>
        </w:tabs>
        <w:kinsoku/>
        <w:wordWrap/>
        <w:overflowPunct/>
        <w:topLinePunct w:val="0"/>
        <w:autoSpaceDE/>
        <w:autoSpaceDN/>
        <w:bidi w:val="0"/>
        <w:adjustRightInd/>
        <w:snapToGrid/>
        <w:spacing w:line="360" w:lineRule="auto"/>
        <w:ind w:firstLine="480" w:firstLineChars="200"/>
        <w:textAlignment w:val="auto"/>
        <w:rPr>
          <w:color w:val="auto"/>
          <w:sz w:val="24"/>
          <w:highlight w:val="none"/>
        </w:rPr>
      </w:pPr>
      <w:r>
        <w:rPr>
          <w:color w:val="auto"/>
          <w:sz w:val="24"/>
          <w:highlight w:val="none"/>
        </w:rPr>
        <w:t>附图1：地理位置示意图</w:t>
      </w:r>
    </w:p>
    <w:p w14:paraId="2F7F4AE2">
      <w:pPr>
        <w:keepNext w:val="0"/>
        <w:keepLines w:val="0"/>
        <w:pageBreakBefore w:val="0"/>
        <w:widowControl w:val="0"/>
        <w:tabs>
          <w:tab w:val="left" w:pos="3960"/>
        </w:tabs>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lang w:val="en-US" w:eastAsia="zh-CN"/>
        </w:rPr>
        <w:t>附图2：</w:t>
      </w:r>
      <w:r>
        <w:rPr>
          <w:rFonts w:hint="eastAsia"/>
          <w:color w:val="auto"/>
          <w:sz w:val="24"/>
          <w:highlight w:val="none"/>
          <w:lang w:eastAsia="zh-CN"/>
        </w:rPr>
        <w:t>线路路径示意图</w:t>
      </w:r>
    </w:p>
    <w:p w14:paraId="6E12BFED">
      <w:pPr>
        <w:keepNext w:val="0"/>
        <w:keepLines w:val="0"/>
        <w:pageBreakBefore w:val="0"/>
        <w:widowControl w:val="0"/>
        <w:tabs>
          <w:tab w:val="left" w:pos="3960"/>
        </w:tabs>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附图</w:t>
      </w:r>
      <w:r>
        <w:rPr>
          <w:rFonts w:hint="eastAsia"/>
          <w:color w:val="auto"/>
          <w:sz w:val="24"/>
          <w:highlight w:val="none"/>
          <w:lang w:val="en-US" w:eastAsia="zh-CN"/>
        </w:rPr>
        <w:t>3</w:t>
      </w:r>
      <w:r>
        <w:rPr>
          <w:rFonts w:hint="eastAsia"/>
          <w:color w:val="auto"/>
          <w:sz w:val="24"/>
          <w:highlight w:val="none"/>
          <w:lang w:eastAsia="zh-CN"/>
        </w:rPr>
        <w:t>：</w:t>
      </w:r>
      <w:r>
        <w:rPr>
          <w:rFonts w:hint="eastAsia"/>
          <w:color w:val="auto"/>
          <w:sz w:val="24"/>
          <w:highlight w:val="none"/>
        </w:rPr>
        <w:t>本项目输电线路与环境保护目标相对位置关系图</w:t>
      </w:r>
    </w:p>
    <w:p w14:paraId="1AA8B7F3">
      <w:pPr>
        <w:keepNext w:val="0"/>
        <w:keepLines w:val="0"/>
        <w:pageBreakBefore w:val="0"/>
        <w:widowControl w:val="0"/>
        <w:tabs>
          <w:tab w:val="left" w:pos="3960"/>
        </w:tabs>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附图</w:t>
      </w:r>
      <w:r>
        <w:rPr>
          <w:rFonts w:hint="eastAsia"/>
          <w:color w:val="auto"/>
          <w:sz w:val="24"/>
          <w:highlight w:val="none"/>
          <w:lang w:val="en-US" w:eastAsia="zh-CN"/>
        </w:rPr>
        <w:t>4</w:t>
      </w:r>
      <w:r>
        <w:rPr>
          <w:rFonts w:hint="eastAsia"/>
          <w:color w:val="auto"/>
          <w:sz w:val="24"/>
          <w:highlight w:val="none"/>
          <w:lang w:eastAsia="zh-CN"/>
        </w:rPr>
        <w:t>：</w:t>
      </w:r>
      <w:r>
        <w:rPr>
          <w:rFonts w:hint="eastAsia"/>
          <w:color w:val="auto"/>
          <w:sz w:val="24"/>
          <w:highlight w:val="none"/>
        </w:rPr>
        <w:t>本项目与</w:t>
      </w:r>
      <w:r>
        <w:rPr>
          <w:rFonts w:hint="eastAsia"/>
          <w:color w:val="auto"/>
          <w:sz w:val="24"/>
          <w:highlight w:val="none"/>
          <w:lang w:eastAsia="zh-CN"/>
        </w:rPr>
        <w:t>柳州市</w:t>
      </w:r>
      <w:r>
        <w:rPr>
          <w:rFonts w:hint="eastAsia"/>
          <w:color w:val="auto"/>
          <w:sz w:val="24"/>
          <w:highlight w:val="none"/>
        </w:rPr>
        <w:t>环境管控单元分区相对位置关系图</w:t>
      </w:r>
    </w:p>
    <w:p w14:paraId="0AD2AA1D">
      <w:pPr>
        <w:keepNext w:val="0"/>
        <w:keepLines w:val="0"/>
        <w:pageBreakBefore w:val="0"/>
        <w:widowControl w:val="0"/>
        <w:tabs>
          <w:tab w:val="left" w:pos="3960"/>
        </w:tabs>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附图</w:t>
      </w:r>
      <w:r>
        <w:rPr>
          <w:rFonts w:hint="eastAsia"/>
          <w:color w:val="auto"/>
          <w:sz w:val="24"/>
          <w:highlight w:val="none"/>
          <w:lang w:val="en-US" w:eastAsia="zh-CN"/>
        </w:rPr>
        <w:t>5</w:t>
      </w:r>
      <w:r>
        <w:rPr>
          <w:rFonts w:hint="eastAsia"/>
          <w:color w:val="auto"/>
          <w:sz w:val="24"/>
          <w:highlight w:val="none"/>
          <w:lang w:eastAsia="zh-CN"/>
        </w:rPr>
        <w:t>：</w:t>
      </w:r>
      <w:r>
        <w:rPr>
          <w:rFonts w:hint="eastAsia"/>
          <w:color w:val="auto"/>
          <w:sz w:val="24"/>
          <w:highlight w:val="none"/>
        </w:rPr>
        <w:t>本项目评价范围内土地利用现状图</w:t>
      </w:r>
    </w:p>
    <w:p w14:paraId="27F6983A">
      <w:pPr>
        <w:keepNext w:val="0"/>
        <w:keepLines w:val="0"/>
        <w:pageBreakBefore w:val="0"/>
        <w:widowControl w:val="0"/>
        <w:tabs>
          <w:tab w:val="left" w:pos="3960"/>
        </w:tabs>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附图</w:t>
      </w:r>
      <w:r>
        <w:rPr>
          <w:rFonts w:hint="eastAsia"/>
          <w:color w:val="auto"/>
          <w:sz w:val="24"/>
          <w:highlight w:val="none"/>
          <w:lang w:val="en-US" w:eastAsia="zh-CN"/>
        </w:rPr>
        <w:t>6</w:t>
      </w:r>
      <w:r>
        <w:rPr>
          <w:rFonts w:hint="eastAsia"/>
          <w:color w:val="auto"/>
          <w:sz w:val="24"/>
          <w:highlight w:val="none"/>
          <w:lang w:eastAsia="zh-CN"/>
        </w:rPr>
        <w:t>：</w:t>
      </w:r>
      <w:r>
        <w:rPr>
          <w:rFonts w:hint="eastAsia"/>
          <w:color w:val="auto"/>
          <w:sz w:val="24"/>
          <w:highlight w:val="none"/>
        </w:rPr>
        <w:t>本项目评价范围内植被类型现状图</w:t>
      </w:r>
    </w:p>
    <w:p w14:paraId="753A1E6F">
      <w:pPr>
        <w:keepNext w:val="0"/>
        <w:keepLines w:val="0"/>
        <w:pageBreakBefore w:val="0"/>
        <w:widowControl w:val="0"/>
        <w:tabs>
          <w:tab w:val="left" w:pos="3960"/>
        </w:tabs>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附图</w:t>
      </w:r>
      <w:r>
        <w:rPr>
          <w:rFonts w:hint="eastAsia"/>
          <w:color w:val="auto"/>
          <w:sz w:val="24"/>
          <w:highlight w:val="none"/>
          <w:lang w:val="en-US" w:eastAsia="zh-CN"/>
        </w:rPr>
        <w:t>7：</w:t>
      </w:r>
      <w:r>
        <w:rPr>
          <w:rFonts w:hint="eastAsia"/>
          <w:color w:val="auto"/>
          <w:sz w:val="24"/>
          <w:highlight w:val="none"/>
        </w:rPr>
        <w:t>本项目线路环境保护措施布置示意图</w:t>
      </w:r>
    </w:p>
    <w:p w14:paraId="43414B24">
      <w:pPr>
        <w:keepNext w:val="0"/>
        <w:keepLines w:val="0"/>
        <w:pageBreakBefore w:val="0"/>
        <w:widowControl w:val="0"/>
        <w:tabs>
          <w:tab w:val="left" w:pos="3960"/>
        </w:tabs>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附图</w:t>
      </w:r>
      <w:r>
        <w:rPr>
          <w:rFonts w:hint="eastAsia"/>
          <w:color w:val="auto"/>
          <w:sz w:val="24"/>
          <w:highlight w:val="none"/>
          <w:lang w:val="en-US" w:eastAsia="zh-CN"/>
        </w:rPr>
        <w:t>8</w:t>
      </w:r>
      <w:r>
        <w:rPr>
          <w:rFonts w:hint="eastAsia"/>
          <w:color w:val="auto"/>
          <w:sz w:val="24"/>
          <w:highlight w:val="none"/>
          <w:lang w:eastAsia="zh-CN"/>
        </w:rPr>
        <w:t>：</w:t>
      </w:r>
      <w:r>
        <w:rPr>
          <w:rFonts w:hint="eastAsia"/>
          <w:color w:val="auto"/>
          <w:sz w:val="24"/>
          <w:highlight w:val="none"/>
        </w:rPr>
        <w:t>杆塔一览图</w:t>
      </w:r>
    </w:p>
    <w:p w14:paraId="4691F9AD">
      <w:pPr>
        <w:keepNext w:val="0"/>
        <w:keepLines w:val="0"/>
        <w:pageBreakBefore w:val="0"/>
        <w:widowControl w:val="0"/>
        <w:tabs>
          <w:tab w:val="left" w:pos="3960"/>
        </w:tabs>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附图</w:t>
      </w:r>
      <w:r>
        <w:rPr>
          <w:rFonts w:hint="eastAsia"/>
          <w:color w:val="auto"/>
          <w:sz w:val="24"/>
          <w:highlight w:val="none"/>
          <w:lang w:val="en-US" w:eastAsia="zh-CN"/>
        </w:rPr>
        <w:t>9</w:t>
      </w:r>
      <w:r>
        <w:rPr>
          <w:rFonts w:hint="eastAsia"/>
          <w:color w:val="auto"/>
          <w:sz w:val="24"/>
          <w:highlight w:val="none"/>
          <w:lang w:eastAsia="zh-CN"/>
        </w:rPr>
        <w:t>：</w:t>
      </w:r>
      <w:r>
        <w:rPr>
          <w:rFonts w:hint="eastAsia"/>
          <w:color w:val="auto"/>
          <w:sz w:val="24"/>
          <w:highlight w:val="none"/>
        </w:rPr>
        <w:t>基础一览图</w:t>
      </w:r>
    </w:p>
    <w:p w14:paraId="4C7DE372">
      <w:pPr>
        <w:keepNext w:val="0"/>
        <w:keepLines w:val="0"/>
        <w:pageBreakBefore w:val="0"/>
        <w:widowControl w:val="0"/>
        <w:tabs>
          <w:tab w:val="left" w:pos="3960"/>
        </w:tabs>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附图</w:t>
      </w:r>
      <w:r>
        <w:rPr>
          <w:rFonts w:hint="eastAsia"/>
          <w:color w:val="auto"/>
          <w:sz w:val="24"/>
          <w:highlight w:val="none"/>
          <w:lang w:val="en-US" w:eastAsia="zh-CN"/>
        </w:rPr>
        <w:t>10</w:t>
      </w:r>
      <w:r>
        <w:rPr>
          <w:rFonts w:hint="eastAsia"/>
          <w:color w:val="auto"/>
          <w:sz w:val="24"/>
          <w:highlight w:val="none"/>
          <w:lang w:eastAsia="zh-CN"/>
        </w:rPr>
        <w:t>：</w:t>
      </w:r>
      <w:r>
        <w:rPr>
          <w:rFonts w:hint="eastAsia"/>
          <w:color w:val="auto"/>
          <w:sz w:val="24"/>
          <w:highlight w:val="none"/>
        </w:rPr>
        <w:t>电缆沟、管断面图</w:t>
      </w:r>
    </w:p>
    <w:p w14:paraId="721C8066">
      <w:pPr>
        <w:keepNext w:val="0"/>
        <w:keepLines w:val="0"/>
        <w:pageBreakBefore w:val="0"/>
        <w:widowControl w:val="0"/>
        <w:tabs>
          <w:tab w:val="left" w:pos="3960"/>
        </w:tabs>
        <w:kinsoku/>
        <w:wordWrap/>
        <w:overflowPunct/>
        <w:topLinePunct w:val="0"/>
        <w:autoSpaceDE/>
        <w:autoSpaceDN/>
        <w:bidi w:val="0"/>
        <w:adjustRightInd/>
        <w:snapToGrid/>
        <w:spacing w:line="288" w:lineRule="auto"/>
        <w:ind w:firstLine="480" w:firstLineChars="200"/>
        <w:textAlignment w:val="auto"/>
        <w:rPr>
          <w:rFonts w:hint="eastAsia"/>
          <w:color w:val="auto"/>
          <w:sz w:val="24"/>
          <w:highlight w:val="none"/>
        </w:rPr>
      </w:pPr>
    </w:p>
    <w:p w14:paraId="3CAB2D8A">
      <w:pPr>
        <w:pStyle w:val="110"/>
        <w:rPr>
          <w:rFonts w:ascii="Times New Roman" w:cs="Times New Roman"/>
          <w:color w:val="auto"/>
          <w:highlight w:val="none"/>
        </w:rPr>
        <w:sectPr>
          <w:footerReference r:id="rId6" w:type="first"/>
          <w:headerReference r:id="rId3" w:type="default"/>
          <w:footerReference r:id="rId4" w:type="default"/>
          <w:footerReference r:id="rId5" w:type="even"/>
          <w:pgSz w:w="11907" w:h="16840"/>
          <w:pgMar w:top="1134" w:right="1418" w:bottom="1134" w:left="1418" w:header="1134" w:footer="567" w:gutter="567"/>
          <w:pgBorders>
            <w:top w:val="none" w:sz="0" w:space="0"/>
            <w:left w:val="none" w:sz="0" w:space="0"/>
            <w:bottom w:val="none" w:sz="0" w:space="0"/>
            <w:right w:val="none" w:sz="0" w:space="0"/>
          </w:pgBorders>
          <w:pgNumType w:start="0"/>
          <w:cols w:space="720" w:num="1"/>
          <w:docGrid w:linePitch="435" w:charSpace="0"/>
        </w:sectPr>
      </w:pPr>
    </w:p>
    <w:p w14:paraId="5718BB7E">
      <w:pPr>
        <w:pStyle w:val="39"/>
        <w:jc w:val="center"/>
        <w:outlineLvl w:val="0"/>
        <w:rPr>
          <w:rFonts w:ascii="Times New Roman" w:hAnsi="Times New Roman" w:eastAsia="黑体"/>
          <w:snapToGrid w:val="0"/>
          <w:color w:val="auto"/>
          <w:sz w:val="30"/>
          <w:szCs w:val="30"/>
          <w:highlight w:val="none"/>
        </w:rPr>
      </w:pPr>
      <w:bookmarkStart w:id="8" w:name="_Toc79488350"/>
      <w:bookmarkStart w:id="9" w:name="_Toc18898"/>
      <w:bookmarkStart w:id="10" w:name="_Toc70507847"/>
      <w:r>
        <w:rPr>
          <w:rFonts w:ascii="Times New Roman" w:hAnsi="Times New Roman" w:eastAsia="黑体"/>
          <w:snapToGrid w:val="0"/>
          <w:color w:val="auto"/>
          <w:sz w:val="30"/>
          <w:szCs w:val="30"/>
          <w:highlight w:val="none"/>
        </w:rPr>
        <w:t>一、建设项目基本情况</w:t>
      </w:r>
      <w:bookmarkEnd w:id="8"/>
      <w:bookmarkEnd w:id="9"/>
      <w:bookmarkEnd w:id="10"/>
    </w:p>
    <w:tbl>
      <w:tblPr>
        <w:tblStyle w:val="44"/>
        <w:tblW w:w="952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598"/>
        <w:gridCol w:w="1810"/>
        <w:gridCol w:w="1228"/>
        <w:gridCol w:w="582"/>
        <w:gridCol w:w="598"/>
        <w:gridCol w:w="1820"/>
        <w:gridCol w:w="609"/>
        <w:gridCol w:w="2278"/>
      </w:tblGrid>
      <w:tr w14:paraId="3CAE2E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408" w:type="dxa"/>
            <w:gridSpan w:val="2"/>
            <w:tcMar>
              <w:top w:w="16" w:type="dxa"/>
              <w:left w:w="16" w:type="dxa"/>
              <w:right w:w="16" w:type="dxa"/>
            </w:tcMar>
            <w:vAlign w:val="center"/>
          </w:tcPr>
          <w:p w14:paraId="6ADDB8B2">
            <w:pPr>
              <w:adjustRightInd w:val="0"/>
              <w:snapToGrid w:val="0"/>
              <w:jc w:val="center"/>
              <w:rPr>
                <w:color w:val="auto"/>
                <w:sz w:val="24"/>
                <w:highlight w:val="none"/>
              </w:rPr>
            </w:pPr>
            <w:r>
              <w:rPr>
                <w:color w:val="auto"/>
                <w:sz w:val="24"/>
                <w:highlight w:val="none"/>
              </w:rPr>
              <w:t>建设项目名称</w:t>
            </w:r>
          </w:p>
        </w:tc>
        <w:tc>
          <w:tcPr>
            <w:tcW w:w="7115" w:type="dxa"/>
            <w:gridSpan w:val="6"/>
            <w:vAlign w:val="center"/>
          </w:tcPr>
          <w:p w14:paraId="76B4BB2C">
            <w:pPr>
              <w:adjustRightInd w:val="0"/>
              <w:snapToGrid w:val="0"/>
              <w:jc w:val="center"/>
              <w:rPr>
                <w:rFonts w:hint="eastAsia"/>
                <w:color w:val="auto"/>
                <w:sz w:val="24"/>
                <w:highlight w:val="none"/>
                <w:lang w:eastAsia="zh-CN"/>
              </w:rPr>
            </w:pPr>
            <w:r>
              <w:rPr>
                <w:rFonts w:hint="eastAsia"/>
                <w:color w:val="auto"/>
                <w:sz w:val="24"/>
                <w:highlight w:val="none"/>
                <w:lang w:eastAsia="zh-CN"/>
              </w:rPr>
              <w:t>白沙变T接茅洲~柳北110千伏线路工程项目</w:t>
            </w:r>
          </w:p>
        </w:tc>
      </w:tr>
      <w:tr w14:paraId="1B45F7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408" w:type="dxa"/>
            <w:gridSpan w:val="2"/>
            <w:tcMar>
              <w:top w:w="16" w:type="dxa"/>
              <w:left w:w="16" w:type="dxa"/>
              <w:right w:w="16" w:type="dxa"/>
            </w:tcMar>
            <w:vAlign w:val="center"/>
          </w:tcPr>
          <w:p w14:paraId="0143DE88">
            <w:pPr>
              <w:adjustRightInd w:val="0"/>
              <w:snapToGrid w:val="0"/>
              <w:jc w:val="center"/>
              <w:rPr>
                <w:color w:val="auto"/>
                <w:sz w:val="24"/>
                <w:highlight w:val="none"/>
              </w:rPr>
            </w:pPr>
            <w:r>
              <w:rPr>
                <w:color w:val="auto"/>
                <w:sz w:val="24"/>
                <w:highlight w:val="none"/>
              </w:rPr>
              <w:t>项目代码</w:t>
            </w:r>
          </w:p>
        </w:tc>
        <w:tc>
          <w:tcPr>
            <w:tcW w:w="7115" w:type="dxa"/>
            <w:gridSpan w:val="6"/>
            <w:vAlign w:val="center"/>
          </w:tcPr>
          <w:p w14:paraId="48C2F7FB">
            <w:pPr>
              <w:adjustRightInd w:val="0"/>
              <w:snapToGrid w:val="0"/>
              <w:jc w:val="center"/>
              <w:rPr>
                <w:rFonts w:hint="eastAsia"/>
                <w:color w:val="auto"/>
                <w:sz w:val="24"/>
                <w:highlight w:val="none"/>
              </w:rPr>
            </w:pPr>
            <w:r>
              <w:rPr>
                <w:rFonts w:hint="eastAsia"/>
                <w:color w:val="auto"/>
                <w:sz w:val="24"/>
                <w:highlight w:val="none"/>
              </w:rPr>
              <w:t>2102-450200-89-01-326965</w:t>
            </w:r>
          </w:p>
        </w:tc>
      </w:tr>
      <w:tr w14:paraId="5F7663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408" w:type="dxa"/>
            <w:gridSpan w:val="2"/>
            <w:tcMar>
              <w:top w:w="16" w:type="dxa"/>
              <w:left w:w="16" w:type="dxa"/>
              <w:right w:w="16" w:type="dxa"/>
            </w:tcMar>
            <w:vAlign w:val="center"/>
          </w:tcPr>
          <w:p w14:paraId="662818DA">
            <w:pPr>
              <w:adjustRightInd w:val="0"/>
              <w:snapToGrid w:val="0"/>
              <w:jc w:val="center"/>
              <w:rPr>
                <w:color w:val="auto"/>
                <w:sz w:val="24"/>
                <w:highlight w:val="none"/>
              </w:rPr>
            </w:pPr>
            <w:r>
              <w:rPr>
                <w:color w:val="auto"/>
                <w:sz w:val="24"/>
                <w:highlight w:val="none"/>
              </w:rPr>
              <w:t>建设单位联系人</w:t>
            </w:r>
          </w:p>
        </w:tc>
        <w:tc>
          <w:tcPr>
            <w:tcW w:w="1810" w:type="dxa"/>
            <w:gridSpan w:val="2"/>
            <w:vAlign w:val="center"/>
          </w:tcPr>
          <w:p w14:paraId="2B4E5ECB">
            <w:pPr>
              <w:adjustRightInd w:val="0"/>
              <w:snapToGrid w:val="0"/>
              <w:jc w:val="center"/>
              <w:rPr>
                <w:rFonts w:hint="eastAsia" w:eastAsia="宋体"/>
                <w:color w:val="auto"/>
                <w:sz w:val="24"/>
                <w:highlight w:val="none"/>
                <w:lang w:val="en-US" w:eastAsia="zh-CN"/>
              </w:rPr>
            </w:pPr>
            <w:r>
              <w:rPr>
                <w:rFonts w:hint="eastAsia"/>
                <w:color w:val="auto"/>
                <w:sz w:val="24"/>
                <w:highlight w:val="none"/>
                <w:lang w:val="en-US" w:eastAsia="zh-CN"/>
              </w:rPr>
              <w:t>张志飞</w:t>
            </w:r>
          </w:p>
        </w:tc>
        <w:tc>
          <w:tcPr>
            <w:tcW w:w="2418" w:type="dxa"/>
            <w:gridSpan w:val="2"/>
            <w:vAlign w:val="center"/>
          </w:tcPr>
          <w:p w14:paraId="789749A4">
            <w:pPr>
              <w:adjustRightInd w:val="0"/>
              <w:snapToGrid w:val="0"/>
              <w:jc w:val="center"/>
              <w:rPr>
                <w:color w:val="auto"/>
                <w:sz w:val="24"/>
                <w:highlight w:val="none"/>
              </w:rPr>
            </w:pPr>
            <w:r>
              <w:rPr>
                <w:color w:val="auto"/>
                <w:sz w:val="24"/>
                <w:highlight w:val="none"/>
              </w:rPr>
              <w:t>联系方式</w:t>
            </w:r>
          </w:p>
        </w:tc>
        <w:tc>
          <w:tcPr>
            <w:tcW w:w="2887" w:type="dxa"/>
            <w:gridSpan w:val="2"/>
            <w:vAlign w:val="center"/>
          </w:tcPr>
          <w:p w14:paraId="5EF105BF">
            <w:pPr>
              <w:adjustRightInd w:val="0"/>
              <w:snapToGrid w:val="0"/>
              <w:jc w:val="center"/>
              <w:rPr>
                <w:color w:val="auto"/>
                <w:sz w:val="24"/>
                <w:highlight w:val="none"/>
              </w:rPr>
            </w:pPr>
            <w:r>
              <w:rPr>
                <w:rFonts w:hint="eastAsia"/>
                <w:color w:val="auto"/>
                <w:sz w:val="24"/>
                <w:highlight w:val="none"/>
              </w:rPr>
              <w:t>0772-3882205</w:t>
            </w:r>
          </w:p>
        </w:tc>
      </w:tr>
      <w:tr w14:paraId="50D8A2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408" w:type="dxa"/>
            <w:gridSpan w:val="2"/>
            <w:tcMar>
              <w:top w:w="16" w:type="dxa"/>
              <w:left w:w="16" w:type="dxa"/>
              <w:right w:w="16" w:type="dxa"/>
            </w:tcMar>
            <w:vAlign w:val="center"/>
          </w:tcPr>
          <w:p w14:paraId="5BCA798C">
            <w:pPr>
              <w:adjustRightInd w:val="0"/>
              <w:snapToGrid w:val="0"/>
              <w:jc w:val="center"/>
              <w:rPr>
                <w:color w:val="auto"/>
                <w:sz w:val="24"/>
                <w:highlight w:val="none"/>
              </w:rPr>
            </w:pPr>
            <w:r>
              <w:rPr>
                <w:color w:val="auto"/>
                <w:sz w:val="24"/>
                <w:highlight w:val="none"/>
              </w:rPr>
              <w:t>建设地点</w:t>
            </w:r>
          </w:p>
        </w:tc>
        <w:tc>
          <w:tcPr>
            <w:tcW w:w="7115" w:type="dxa"/>
            <w:gridSpan w:val="6"/>
            <w:vAlign w:val="center"/>
          </w:tcPr>
          <w:p w14:paraId="01A5CDE6">
            <w:pPr>
              <w:adjustRightInd w:val="0"/>
              <w:snapToGrid w:val="0"/>
              <w:jc w:val="center"/>
              <w:rPr>
                <w:rFonts w:hint="default" w:eastAsia="宋体"/>
                <w:color w:val="auto"/>
                <w:sz w:val="24"/>
                <w:highlight w:val="none"/>
                <w:lang w:val="en-US" w:eastAsia="zh-CN"/>
              </w:rPr>
            </w:pPr>
            <w:r>
              <w:rPr>
                <w:color w:val="auto"/>
                <w:sz w:val="24"/>
                <w:highlight w:val="none"/>
              </w:rPr>
              <w:t>广西壮族自治区</w:t>
            </w:r>
            <w:r>
              <w:rPr>
                <w:rFonts w:hint="eastAsia"/>
                <w:color w:val="auto"/>
                <w:sz w:val="24"/>
                <w:highlight w:val="none"/>
                <w:lang w:val="en-US" w:eastAsia="zh-CN"/>
              </w:rPr>
              <w:t>柳州市柳北区</w:t>
            </w:r>
          </w:p>
        </w:tc>
      </w:tr>
      <w:tr w14:paraId="7E9684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408" w:type="dxa"/>
            <w:gridSpan w:val="2"/>
            <w:vMerge w:val="restart"/>
            <w:tcMar>
              <w:top w:w="16" w:type="dxa"/>
              <w:left w:w="16" w:type="dxa"/>
              <w:right w:w="16" w:type="dxa"/>
            </w:tcMar>
            <w:vAlign w:val="center"/>
          </w:tcPr>
          <w:p w14:paraId="506E3E26">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地理坐标</w:t>
            </w:r>
          </w:p>
        </w:tc>
        <w:tc>
          <w:tcPr>
            <w:tcW w:w="1228" w:type="dxa"/>
            <w:vMerge w:val="restart"/>
            <w:vAlign w:val="center"/>
          </w:tcPr>
          <w:p w14:paraId="0D78E537">
            <w:pPr>
              <w:jc w:val="center"/>
              <w:rPr>
                <w:color w:val="auto"/>
                <w:sz w:val="24"/>
                <w:szCs w:val="24"/>
                <w:highlight w:val="none"/>
              </w:rPr>
            </w:pPr>
            <w:r>
              <w:rPr>
                <w:rFonts w:hint="eastAsia"/>
                <w:color w:val="auto"/>
                <w:sz w:val="24"/>
                <w:szCs w:val="24"/>
                <w:highlight w:val="none"/>
              </w:rPr>
              <w:t>白沙变T接茅洲～柳北110kV线路工程</w:t>
            </w:r>
          </w:p>
        </w:tc>
        <w:tc>
          <w:tcPr>
            <w:tcW w:w="1180" w:type="dxa"/>
            <w:gridSpan w:val="2"/>
            <w:vAlign w:val="center"/>
          </w:tcPr>
          <w:p w14:paraId="0704FEC3">
            <w:pPr>
              <w:adjustRightInd w:val="0"/>
              <w:snapToGrid w:val="0"/>
              <w:ind w:left="13" w:leftChars="6"/>
              <w:jc w:val="center"/>
              <w:rPr>
                <w:color w:val="auto"/>
                <w:sz w:val="24"/>
                <w:szCs w:val="24"/>
                <w:highlight w:val="none"/>
              </w:rPr>
            </w:pPr>
            <w:r>
              <w:rPr>
                <w:rFonts w:hint="eastAsia" w:ascii="Times New Roman" w:hAnsi="Times New Roman" w:eastAsia="宋体" w:cs="Times New Roman"/>
                <w:color w:val="auto"/>
                <w:sz w:val="24"/>
                <w:szCs w:val="24"/>
                <w:highlight w:val="none"/>
              </w:rPr>
              <w:t>起点坐标</w:t>
            </w:r>
          </w:p>
        </w:tc>
        <w:tc>
          <w:tcPr>
            <w:tcW w:w="2429" w:type="dxa"/>
            <w:gridSpan w:val="2"/>
            <w:vAlign w:val="center"/>
          </w:tcPr>
          <w:p w14:paraId="2FCD45D7">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 w:val="24"/>
                <w:szCs w:val="24"/>
                <w:highlight w:val="none"/>
                <w:lang w:val="en-US" w:eastAsia="zh-CN"/>
              </w:rPr>
            </w:pPr>
            <w:r>
              <w:rPr>
                <w:rFonts w:hint="eastAsia"/>
                <w:color w:val="auto"/>
                <w:sz w:val="24"/>
                <w:szCs w:val="24"/>
                <w:highlight w:val="none"/>
                <w:lang w:val="en-US" w:eastAsia="zh-CN"/>
              </w:rPr>
              <w:t>略</w:t>
            </w:r>
          </w:p>
        </w:tc>
        <w:tc>
          <w:tcPr>
            <w:tcW w:w="2278" w:type="dxa"/>
            <w:vAlign w:val="center"/>
          </w:tcPr>
          <w:p w14:paraId="0D4060B2">
            <w:pPr>
              <w:keepNext w:val="0"/>
              <w:keepLines w:val="0"/>
              <w:pageBreakBefore w:val="0"/>
              <w:widowControl w:val="0"/>
              <w:kinsoku/>
              <w:wordWrap/>
              <w:overflowPunct/>
              <w:topLinePunct w:val="0"/>
              <w:autoSpaceDE/>
              <w:autoSpaceDN/>
              <w:bidi w:val="0"/>
              <w:adjustRightInd/>
              <w:snapToGrid/>
              <w:jc w:val="center"/>
              <w:textAlignment w:val="auto"/>
              <w:rPr>
                <w:color w:val="auto"/>
                <w:sz w:val="24"/>
                <w:szCs w:val="24"/>
                <w:highlight w:val="none"/>
              </w:rPr>
            </w:pPr>
            <w:r>
              <w:rPr>
                <w:rFonts w:hint="eastAsia"/>
                <w:color w:val="auto"/>
                <w:sz w:val="24"/>
                <w:szCs w:val="24"/>
                <w:highlight w:val="none"/>
                <w:lang w:val="en-US" w:eastAsia="zh-CN"/>
              </w:rPr>
              <w:t>略</w:t>
            </w:r>
          </w:p>
        </w:tc>
      </w:tr>
      <w:tr w14:paraId="42D904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3" w:hRule="atLeast"/>
          <w:jc w:val="center"/>
        </w:trPr>
        <w:tc>
          <w:tcPr>
            <w:tcW w:w="2408" w:type="dxa"/>
            <w:gridSpan w:val="2"/>
            <w:vMerge w:val="continue"/>
            <w:tcMar>
              <w:top w:w="16" w:type="dxa"/>
              <w:left w:w="16" w:type="dxa"/>
              <w:right w:w="16" w:type="dxa"/>
            </w:tcMar>
            <w:vAlign w:val="center"/>
          </w:tcPr>
          <w:p w14:paraId="44B362CC">
            <w:pPr>
              <w:adjustRightInd w:val="0"/>
              <w:snapToGrid w:val="0"/>
              <w:ind w:left="13" w:leftChars="6"/>
              <w:jc w:val="center"/>
              <w:rPr>
                <w:color w:val="auto"/>
                <w:sz w:val="24"/>
                <w:highlight w:val="none"/>
              </w:rPr>
            </w:pPr>
          </w:p>
        </w:tc>
        <w:tc>
          <w:tcPr>
            <w:tcW w:w="1228" w:type="dxa"/>
            <w:vMerge w:val="continue"/>
            <w:vAlign w:val="center"/>
          </w:tcPr>
          <w:p w14:paraId="03B1820E">
            <w:pPr>
              <w:adjustRightInd w:val="0"/>
              <w:snapToGrid w:val="0"/>
              <w:ind w:left="13" w:leftChars="6"/>
              <w:jc w:val="center"/>
              <w:rPr>
                <w:color w:val="auto"/>
                <w:sz w:val="24"/>
                <w:szCs w:val="24"/>
                <w:highlight w:val="none"/>
              </w:rPr>
            </w:pPr>
          </w:p>
        </w:tc>
        <w:tc>
          <w:tcPr>
            <w:tcW w:w="1180" w:type="dxa"/>
            <w:gridSpan w:val="2"/>
            <w:vAlign w:val="center"/>
          </w:tcPr>
          <w:p w14:paraId="6C57B878">
            <w:pPr>
              <w:adjustRightInd w:val="0"/>
              <w:snapToGrid w:val="0"/>
              <w:ind w:left="13" w:leftChars="6"/>
              <w:jc w:val="center"/>
              <w:rPr>
                <w:color w:val="auto"/>
                <w:sz w:val="24"/>
                <w:szCs w:val="24"/>
                <w:highlight w:val="none"/>
              </w:rPr>
            </w:pPr>
            <w:r>
              <w:rPr>
                <w:rFonts w:hint="eastAsia" w:ascii="Times New Roman" w:hAnsi="Times New Roman" w:eastAsia="宋体" w:cs="Times New Roman"/>
                <w:color w:val="auto"/>
                <w:sz w:val="24"/>
                <w:szCs w:val="24"/>
                <w:highlight w:val="none"/>
              </w:rPr>
              <w:t>节点坐标</w:t>
            </w:r>
          </w:p>
        </w:tc>
        <w:tc>
          <w:tcPr>
            <w:tcW w:w="2429" w:type="dxa"/>
            <w:gridSpan w:val="2"/>
            <w:vAlign w:val="center"/>
          </w:tcPr>
          <w:p w14:paraId="4709F4C5">
            <w:pPr>
              <w:keepNext w:val="0"/>
              <w:keepLines w:val="0"/>
              <w:pageBreakBefore w:val="0"/>
              <w:widowControl w:val="0"/>
              <w:kinsoku/>
              <w:wordWrap/>
              <w:overflowPunct/>
              <w:topLinePunct w:val="0"/>
              <w:autoSpaceDE/>
              <w:autoSpaceDN/>
              <w:bidi w:val="0"/>
              <w:adjustRightInd/>
              <w:snapToGrid/>
              <w:jc w:val="center"/>
              <w:textAlignment w:val="auto"/>
              <w:rPr>
                <w:color w:val="auto"/>
                <w:sz w:val="24"/>
                <w:szCs w:val="24"/>
                <w:highlight w:val="none"/>
              </w:rPr>
            </w:pPr>
            <w:r>
              <w:rPr>
                <w:rFonts w:hint="eastAsia"/>
                <w:color w:val="auto"/>
                <w:sz w:val="24"/>
                <w:szCs w:val="24"/>
                <w:highlight w:val="none"/>
                <w:lang w:val="en-US" w:eastAsia="zh-CN"/>
              </w:rPr>
              <w:t>略</w:t>
            </w:r>
          </w:p>
        </w:tc>
        <w:tc>
          <w:tcPr>
            <w:tcW w:w="2278" w:type="dxa"/>
            <w:vAlign w:val="center"/>
          </w:tcPr>
          <w:p w14:paraId="1497232B">
            <w:pPr>
              <w:adjustRightInd w:val="0"/>
              <w:snapToGrid w:val="0"/>
              <w:ind w:left="13" w:leftChars="6"/>
              <w:jc w:val="center"/>
              <w:rPr>
                <w:color w:val="auto"/>
                <w:sz w:val="24"/>
                <w:szCs w:val="24"/>
                <w:highlight w:val="none"/>
              </w:rPr>
            </w:pPr>
            <w:r>
              <w:rPr>
                <w:rFonts w:hint="eastAsia"/>
                <w:color w:val="auto"/>
                <w:sz w:val="24"/>
                <w:szCs w:val="24"/>
                <w:highlight w:val="none"/>
                <w:lang w:val="en-US" w:eastAsia="zh-CN"/>
              </w:rPr>
              <w:t>略</w:t>
            </w:r>
          </w:p>
        </w:tc>
      </w:tr>
      <w:tr w14:paraId="0D7FE2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408" w:type="dxa"/>
            <w:gridSpan w:val="2"/>
            <w:vMerge w:val="continue"/>
            <w:tcMar>
              <w:top w:w="16" w:type="dxa"/>
              <w:left w:w="16" w:type="dxa"/>
              <w:right w:w="16" w:type="dxa"/>
            </w:tcMar>
            <w:vAlign w:val="center"/>
          </w:tcPr>
          <w:p w14:paraId="13DAC964">
            <w:pPr>
              <w:adjustRightInd w:val="0"/>
              <w:snapToGrid w:val="0"/>
              <w:ind w:left="13" w:leftChars="6"/>
              <w:jc w:val="center"/>
              <w:rPr>
                <w:color w:val="auto"/>
                <w:sz w:val="24"/>
                <w:highlight w:val="none"/>
              </w:rPr>
            </w:pPr>
          </w:p>
        </w:tc>
        <w:tc>
          <w:tcPr>
            <w:tcW w:w="1228" w:type="dxa"/>
            <w:vMerge w:val="continue"/>
            <w:vAlign w:val="center"/>
          </w:tcPr>
          <w:p w14:paraId="00432976">
            <w:pPr>
              <w:adjustRightInd w:val="0"/>
              <w:snapToGrid w:val="0"/>
              <w:ind w:left="13" w:leftChars="6"/>
              <w:jc w:val="center"/>
              <w:rPr>
                <w:color w:val="auto"/>
                <w:sz w:val="24"/>
                <w:szCs w:val="24"/>
                <w:highlight w:val="none"/>
              </w:rPr>
            </w:pPr>
          </w:p>
        </w:tc>
        <w:tc>
          <w:tcPr>
            <w:tcW w:w="1180" w:type="dxa"/>
            <w:gridSpan w:val="2"/>
            <w:vAlign w:val="center"/>
          </w:tcPr>
          <w:p w14:paraId="7B375E8F">
            <w:pPr>
              <w:adjustRightInd w:val="0"/>
              <w:snapToGrid w:val="0"/>
              <w:ind w:left="13" w:leftChars="6"/>
              <w:jc w:val="center"/>
              <w:rPr>
                <w:color w:val="auto"/>
                <w:sz w:val="24"/>
                <w:szCs w:val="24"/>
                <w:highlight w:val="none"/>
              </w:rPr>
            </w:pPr>
            <w:r>
              <w:rPr>
                <w:rFonts w:hint="eastAsia" w:ascii="Times New Roman" w:hAnsi="Times New Roman" w:eastAsia="宋体" w:cs="Times New Roman"/>
                <w:color w:val="auto"/>
                <w:sz w:val="24"/>
                <w:szCs w:val="24"/>
                <w:highlight w:val="none"/>
              </w:rPr>
              <w:t>终点坐标</w:t>
            </w:r>
          </w:p>
        </w:tc>
        <w:tc>
          <w:tcPr>
            <w:tcW w:w="2429" w:type="dxa"/>
            <w:gridSpan w:val="2"/>
            <w:vAlign w:val="center"/>
          </w:tcPr>
          <w:p w14:paraId="697EBDE3">
            <w:pPr>
              <w:keepNext w:val="0"/>
              <w:keepLines w:val="0"/>
              <w:pageBreakBefore w:val="0"/>
              <w:widowControl w:val="0"/>
              <w:kinsoku/>
              <w:wordWrap/>
              <w:overflowPunct/>
              <w:topLinePunct w:val="0"/>
              <w:autoSpaceDE/>
              <w:autoSpaceDN/>
              <w:bidi w:val="0"/>
              <w:adjustRightInd/>
              <w:snapToGrid/>
              <w:jc w:val="center"/>
              <w:textAlignment w:val="auto"/>
              <w:rPr>
                <w:color w:val="auto"/>
                <w:sz w:val="24"/>
                <w:szCs w:val="24"/>
                <w:highlight w:val="none"/>
              </w:rPr>
            </w:pPr>
            <w:r>
              <w:rPr>
                <w:rFonts w:hint="eastAsia"/>
                <w:color w:val="auto"/>
                <w:sz w:val="24"/>
                <w:szCs w:val="24"/>
                <w:highlight w:val="none"/>
                <w:lang w:val="en-US" w:eastAsia="zh-CN"/>
              </w:rPr>
              <w:t>略</w:t>
            </w:r>
          </w:p>
        </w:tc>
        <w:tc>
          <w:tcPr>
            <w:tcW w:w="2278" w:type="dxa"/>
            <w:vAlign w:val="center"/>
          </w:tcPr>
          <w:p w14:paraId="3C25E853">
            <w:pPr>
              <w:adjustRightInd w:val="0"/>
              <w:snapToGrid w:val="0"/>
              <w:ind w:left="13" w:leftChars="6"/>
              <w:jc w:val="center"/>
              <w:rPr>
                <w:color w:val="auto"/>
                <w:sz w:val="24"/>
                <w:szCs w:val="24"/>
                <w:highlight w:val="none"/>
              </w:rPr>
            </w:pPr>
            <w:r>
              <w:rPr>
                <w:rFonts w:hint="eastAsia"/>
                <w:color w:val="auto"/>
                <w:sz w:val="24"/>
                <w:szCs w:val="24"/>
                <w:highlight w:val="none"/>
                <w:lang w:val="en-US" w:eastAsia="zh-CN"/>
              </w:rPr>
              <w:t>略</w:t>
            </w:r>
          </w:p>
        </w:tc>
      </w:tr>
      <w:tr w14:paraId="12BB65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408" w:type="dxa"/>
            <w:gridSpan w:val="2"/>
            <w:vMerge w:val="continue"/>
            <w:tcMar>
              <w:top w:w="16" w:type="dxa"/>
              <w:left w:w="16" w:type="dxa"/>
              <w:right w:w="16" w:type="dxa"/>
            </w:tcMar>
            <w:vAlign w:val="center"/>
          </w:tcPr>
          <w:p w14:paraId="509F723A">
            <w:pPr>
              <w:adjustRightInd w:val="0"/>
              <w:snapToGrid w:val="0"/>
              <w:ind w:left="13" w:leftChars="6"/>
              <w:jc w:val="center"/>
              <w:rPr>
                <w:color w:val="auto"/>
                <w:sz w:val="24"/>
                <w:highlight w:val="none"/>
              </w:rPr>
            </w:pPr>
          </w:p>
        </w:tc>
        <w:tc>
          <w:tcPr>
            <w:tcW w:w="2408" w:type="dxa"/>
            <w:gridSpan w:val="3"/>
            <w:vAlign w:val="center"/>
          </w:tcPr>
          <w:p w14:paraId="3E076A63">
            <w:pPr>
              <w:adjustRightInd w:val="0"/>
              <w:snapToGrid w:val="0"/>
              <w:ind w:left="13" w:leftChars="6"/>
              <w:jc w:val="center"/>
              <w:rPr>
                <w:rFonts w:hint="eastAsia" w:eastAsia="宋体"/>
                <w:color w:val="auto"/>
                <w:sz w:val="24"/>
                <w:szCs w:val="24"/>
                <w:highlight w:val="none"/>
                <w:lang w:eastAsia="zh-CN"/>
              </w:rPr>
            </w:pPr>
            <w:r>
              <w:rPr>
                <w:rFonts w:hint="eastAsia"/>
                <w:color w:val="auto"/>
                <w:sz w:val="24"/>
                <w:szCs w:val="24"/>
                <w:highlight w:val="none"/>
              </w:rPr>
              <w:t>调整黄村变接线方式</w:t>
            </w:r>
            <w:r>
              <w:rPr>
                <w:rFonts w:hint="eastAsia"/>
                <w:color w:val="auto"/>
                <w:sz w:val="24"/>
                <w:szCs w:val="24"/>
                <w:highlight w:val="none"/>
                <w:lang w:eastAsia="zh-CN"/>
              </w:rPr>
              <w:t>（</w:t>
            </w:r>
            <w:r>
              <w:rPr>
                <w:rFonts w:hint="eastAsia"/>
                <w:color w:val="auto"/>
                <w:sz w:val="24"/>
                <w:szCs w:val="24"/>
                <w:highlight w:val="none"/>
                <w:lang w:val="en-US" w:eastAsia="zh-CN"/>
              </w:rPr>
              <w:t>110kV河北变电站电缆线路处坐标</w:t>
            </w:r>
            <w:r>
              <w:rPr>
                <w:rFonts w:hint="eastAsia"/>
                <w:color w:val="auto"/>
                <w:sz w:val="24"/>
                <w:szCs w:val="24"/>
                <w:highlight w:val="none"/>
                <w:lang w:eastAsia="zh-CN"/>
              </w:rPr>
              <w:t>）</w:t>
            </w:r>
          </w:p>
        </w:tc>
        <w:tc>
          <w:tcPr>
            <w:tcW w:w="2429" w:type="dxa"/>
            <w:gridSpan w:val="2"/>
            <w:shd w:val="clear" w:color="auto" w:fill="auto"/>
            <w:vAlign w:val="center"/>
          </w:tcPr>
          <w:p w14:paraId="45FF9C4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kern w:val="2"/>
                <w:sz w:val="24"/>
                <w:szCs w:val="24"/>
                <w:highlight w:val="none"/>
                <w:u w:val="single"/>
                <w:lang w:val="en-US" w:eastAsia="zh-CN" w:bidi="ar-SA"/>
              </w:rPr>
            </w:pPr>
            <w:r>
              <w:rPr>
                <w:rFonts w:hint="eastAsia"/>
                <w:color w:val="auto"/>
                <w:sz w:val="24"/>
                <w:szCs w:val="24"/>
                <w:highlight w:val="none"/>
                <w:lang w:val="en-US" w:eastAsia="zh-CN"/>
              </w:rPr>
              <w:t>略</w:t>
            </w:r>
          </w:p>
        </w:tc>
        <w:tc>
          <w:tcPr>
            <w:tcW w:w="2278" w:type="dxa"/>
            <w:shd w:val="clear" w:color="auto" w:fill="auto"/>
            <w:vAlign w:val="center"/>
          </w:tcPr>
          <w:p w14:paraId="1E8AD31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kern w:val="2"/>
                <w:sz w:val="24"/>
                <w:szCs w:val="24"/>
                <w:highlight w:val="none"/>
                <w:u w:val="single"/>
                <w:lang w:val="en-US" w:eastAsia="zh-CN" w:bidi="ar-SA"/>
              </w:rPr>
            </w:pPr>
            <w:r>
              <w:rPr>
                <w:rFonts w:hint="eastAsia"/>
                <w:color w:val="auto"/>
                <w:sz w:val="24"/>
                <w:szCs w:val="24"/>
                <w:highlight w:val="none"/>
                <w:lang w:val="en-US" w:eastAsia="zh-CN"/>
              </w:rPr>
              <w:t>略</w:t>
            </w:r>
          </w:p>
        </w:tc>
      </w:tr>
      <w:tr w14:paraId="1DBF1E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80" w:hRule="atLeast"/>
          <w:jc w:val="center"/>
        </w:trPr>
        <w:tc>
          <w:tcPr>
            <w:tcW w:w="2408" w:type="dxa"/>
            <w:gridSpan w:val="2"/>
            <w:tcMar>
              <w:top w:w="16" w:type="dxa"/>
              <w:left w:w="16" w:type="dxa"/>
              <w:right w:w="16" w:type="dxa"/>
            </w:tcMar>
            <w:vAlign w:val="center"/>
          </w:tcPr>
          <w:p w14:paraId="18E6E768">
            <w:pPr>
              <w:adjustRightInd w:val="0"/>
              <w:snapToGrid w:val="0"/>
              <w:jc w:val="center"/>
              <w:rPr>
                <w:color w:val="auto"/>
                <w:sz w:val="24"/>
                <w:highlight w:val="none"/>
              </w:rPr>
            </w:pPr>
            <w:r>
              <w:rPr>
                <w:color w:val="auto"/>
                <w:sz w:val="24"/>
                <w:highlight w:val="none"/>
              </w:rPr>
              <w:t>建设项目</w:t>
            </w:r>
          </w:p>
          <w:p w14:paraId="6D484E54">
            <w:pPr>
              <w:adjustRightInd w:val="0"/>
              <w:snapToGrid w:val="0"/>
              <w:jc w:val="center"/>
              <w:rPr>
                <w:color w:val="auto"/>
                <w:sz w:val="24"/>
                <w:highlight w:val="none"/>
              </w:rPr>
            </w:pPr>
            <w:r>
              <w:rPr>
                <w:color w:val="auto"/>
                <w:sz w:val="24"/>
                <w:highlight w:val="none"/>
              </w:rPr>
              <w:t>行业类别</w:t>
            </w:r>
          </w:p>
        </w:tc>
        <w:tc>
          <w:tcPr>
            <w:tcW w:w="1810" w:type="dxa"/>
            <w:gridSpan w:val="2"/>
            <w:vAlign w:val="center"/>
          </w:tcPr>
          <w:p w14:paraId="09F1ECA6">
            <w:pPr>
              <w:adjustRightInd w:val="0"/>
              <w:snapToGrid w:val="0"/>
              <w:jc w:val="center"/>
              <w:rPr>
                <w:color w:val="auto"/>
                <w:sz w:val="24"/>
                <w:highlight w:val="none"/>
              </w:rPr>
            </w:pPr>
            <w:r>
              <w:rPr>
                <w:color w:val="auto"/>
                <w:sz w:val="24"/>
                <w:highlight w:val="none"/>
              </w:rPr>
              <w:t>161输变电工程</w:t>
            </w:r>
          </w:p>
        </w:tc>
        <w:tc>
          <w:tcPr>
            <w:tcW w:w="2418" w:type="dxa"/>
            <w:gridSpan w:val="2"/>
            <w:vAlign w:val="center"/>
          </w:tcPr>
          <w:p w14:paraId="211040CC">
            <w:pPr>
              <w:adjustRightInd w:val="0"/>
              <w:snapToGrid w:val="0"/>
              <w:jc w:val="center"/>
              <w:rPr>
                <w:color w:val="auto"/>
                <w:sz w:val="24"/>
                <w:highlight w:val="none"/>
              </w:rPr>
            </w:pPr>
            <w:r>
              <w:rPr>
                <w:color w:val="auto"/>
                <w:sz w:val="24"/>
                <w:highlight w:val="none"/>
              </w:rPr>
              <w:t>用地（用海）面积（m</w:t>
            </w:r>
            <w:r>
              <w:rPr>
                <w:color w:val="auto"/>
                <w:sz w:val="24"/>
                <w:highlight w:val="none"/>
                <w:vertAlign w:val="superscript"/>
              </w:rPr>
              <w:t>2</w:t>
            </w:r>
            <w:r>
              <w:rPr>
                <w:color w:val="auto"/>
                <w:sz w:val="24"/>
                <w:highlight w:val="none"/>
              </w:rPr>
              <w:t>）/长度（km）</w:t>
            </w:r>
          </w:p>
        </w:tc>
        <w:tc>
          <w:tcPr>
            <w:tcW w:w="2887" w:type="dxa"/>
            <w:gridSpan w:val="2"/>
            <w:vAlign w:val="center"/>
          </w:tcPr>
          <w:p w14:paraId="07929732">
            <w:pPr>
              <w:adjustRightInd w:val="0"/>
              <w:snapToGrid w:val="0"/>
              <w:jc w:val="center"/>
              <w:rPr>
                <w:color w:val="auto"/>
                <w:sz w:val="24"/>
                <w:highlight w:val="none"/>
              </w:rPr>
            </w:pPr>
            <w:r>
              <w:rPr>
                <w:rFonts w:hint="eastAsia"/>
                <w:color w:val="auto"/>
                <w:sz w:val="24"/>
                <w:highlight w:val="none"/>
                <w:lang w:eastAsia="zh-CN"/>
              </w:rPr>
              <w:t>3020</w:t>
            </w:r>
            <w:r>
              <w:rPr>
                <w:rFonts w:hint="eastAsia"/>
                <w:color w:val="auto"/>
                <w:sz w:val="24"/>
                <w:highlight w:val="none"/>
              </w:rPr>
              <w:t>m</w:t>
            </w:r>
            <w:r>
              <w:rPr>
                <w:color w:val="auto"/>
                <w:sz w:val="24"/>
                <w:highlight w:val="none"/>
                <w:vertAlign w:val="superscript"/>
              </w:rPr>
              <w:t>2</w:t>
            </w:r>
            <w:r>
              <w:rPr>
                <w:rFonts w:hint="eastAsia"/>
                <w:color w:val="auto"/>
                <w:sz w:val="24"/>
                <w:highlight w:val="none"/>
              </w:rPr>
              <w:t>/</w:t>
            </w:r>
            <w:r>
              <w:rPr>
                <w:rFonts w:hint="eastAsia"/>
                <w:color w:val="auto"/>
                <w:sz w:val="24"/>
                <w:highlight w:val="none"/>
                <w:lang w:val="en-US" w:eastAsia="zh-CN"/>
              </w:rPr>
              <w:t>2.5km</w:t>
            </w:r>
          </w:p>
        </w:tc>
      </w:tr>
      <w:tr w14:paraId="762259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191" w:hRule="atLeast"/>
          <w:jc w:val="center"/>
        </w:trPr>
        <w:tc>
          <w:tcPr>
            <w:tcW w:w="2408" w:type="dxa"/>
            <w:gridSpan w:val="2"/>
            <w:tcMar>
              <w:top w:w="16" w:type="dxa"/>
              <w:left w:w="16" w:type="dxa"/>
              <w:right w:w="16" w:type="dxa"/>
            </w:tcMar>
            <w:vAlign w:val="center"/>
          </w:tcPr>
          <w:p w14:paraId="480C61F4">
            <w:pPr>
              <w:adjustRightInd w:val="0"/>
              <w:snapToGrid w:val="0"/>
              <w:jc w:val="center"/>
              <w:rPr>
                <w:color w:val="auto"/>
                <w:sz w:val="24"/>
                <w:highlight w:val="none"/>
              </w:rPr>
            </w:pPr>
            <w:r>
              <w:rPr>
                <w:color w:val="auto"/>
                <w:sz w:val="24"/>
                <w:highlight w:val="none"/>
              </w:rPr>
              <w:t>建设性质</w:t>
            </w:r>
          </w:p>
        </w:tc>
        <w:tc>
          <w:tcPr>
            <w:tcW w:w="1810" w:type="dxa"/>
            <w:gridSpan w:val="2"/>
            <w:vAlign w:val="center"/>
          </w:tcPr>
          <w:p w14:paraId="1E16A72F">
            <w:pPr>
              <w:adjustRightInd w:val="0"/>
              <w:snapToGrid w:val="0"/>
              <w:jc w:val="left"/>
              <w:rPr>
                <w:color w:val="auto"/>
                <w:sz w:val="24"/>
                <w:highlight w:val="none"/>
              </w:rPr>
            </w:pPr>
            <w:r>
              <w:rPr>
                <w:rFonts w:hint="eastAsia" w:ascii="宋体" w:hAnsi="宋体" w:cs="宋体"/>
                <w:color w:val="auto"/>
                <w:sz w:val="24"/>
                <w:highlight w:val="none"/>
                <w:lang w:eastAsia="zh-CN"/>
              </w:rPr>
              <w:t>☑</w:t>
            </w:r>
            <w:r>
              <w:rPr>
                <w:color w:val="auto"/>
                <w:sz w:val="24"/>
                <w:highlight w:val="none"/>
              </w:rPr>
              <w:t>新建（迁建）</w:t>
            </w:r>
          </w:p>
          <w:p w14:paraId="66186BDF">
            <w:pPr>
              <w:adjustRightInd w:val="0"/>
              <w:snapToGrid w:val="0"/>
              <w:jc w:val="left"/>
              <w:rPr>
                <w:color w:val="auto"/>
                <w:sz w:val="24"/>
                <w:highlight w:val="none"/>
              </w:rPr>
            </w:pPr>
            <w:r>
              <w:rPr>
                <w:rFonts w:hint="eastAsia"/>
                <w:color w:val="auto"/>
                <w:sz w:val="24"/>
                <w:highlight w:val="none"/>
              </w:rPr>
              <w:t>□</w:t>
            </w:r>
            <w:r>
              <w:rPr>
                <w:color w:val="auto"/>
                <w:sz w:val="24"/>
                <w:highlight w:val="none"/>
              </w:rPr>
              <w:t>改建</w:t>
            </w:r>
          </w:p>
          <w:p w14:paraId="51EF33E2">
            <w:pPr>
              <w:adjustRightInd w:val="0"/>
              <w:snapToGrid w:val="0"/>
              <w:jc w:val="left"/>
              <w:rPr>
                <w:color w:val="auto"/>
                <w:sz w:val="24"/>
                <w:highlight w:val="none"/>
              </w:rPr>
            </w:pPr>
            <w:r>
              <w:rPr>
                <w:rFonts w:hint="eastAsia"/>
                <w:color w:val="auto"/>
                <w:sz w:val="24"/>
                <w:highlight w:val="none"/>
              </w:rPr>
              <w:t>□</w:t>
            </w:r>
            <w:r>
              <w:rPr>
                <w:color w:val="auto"/>
                <w:sz w:val="24"/>
                <w:highlight w:val="none"/>
              </w:rPr>
              <w:t>扩建</w:t>
            </w:r>
          </w:p>
          <w:p w14:paraId="60A65831">
            <w:pPr>
              <w:adjustRightInd w:val="0"/>
              <w:snapToGrid w:val="0"/>
              <w:jc w:val="left"/>
              <w:rPr>
                <w:color w:val="auto"/>
                <w:sz w:val="24"/>
                <w:highlight w:val="none"/>
              </w:rPr>
            </w:pPr>
            <w:r>
              <w:rPr>
                <w:rFonts w:hint="eastAsia"/>
                <w:color w:val="auto"/>
                <w:sz w:val="24"/>
                <w:highlight w:val="none"/>
              </w:rPr>
              <w:t>□</w:t>
            </w:r>
            <w:r>
              <w:rPr>
                <w:color w:val="auto"/>
                <w:sz w:val="24"/>
                <w:highlight w:val="none"/>
              </w:rPr>
              <w:t>技术改造</w:t>
            </w:r>
          </w:p>
        </w:tc>
        <w:tc>
          <w:tcPr>
            <w:tcW w:w="2418" w:type="dxa"/>
            <w:gridSpan w:val="2"/>
            <w:vAlign w:val="center"/>
          </w:tcPr>
          <w:p w14:paraId="689229A3">
            <w:pPr>
              <w:adjustRightInd w:val="0"/>
              <w:snapToGrid w:val="0"/>
              <w:jc w:val="center"/>
              <w:rPr>
                <w:color w:val="auto"/>
                <w:sz w:val="24"/>
                <w:highlight w:val="none"/>
              </w:rPr>
            </w:pPr>
            <w:r>
              <w:rPr>
                <w:color w:val="auto"/>
                <w:sz w:val="24"/>
                <w:highlight w:val="none"/>
              </w:rPr>
              <w:t>建设项目</w:t>
            </w:r>
          </w:p>
          <w:p w14:paraId="4A544A40">
            <w:pPr>
              <w:adjustRightInd w:val="0"/>
              <w:snapToGrid w:val="0"/>
              <w:jc w:val="center"/>
              <w:rPr>
                <w:color w:val="auto"/>
                <w:sz w:val="24"/>
                <w:highlight w:val="none"/>
              </w:rPr>
            </w:pPr>
            <w:r>
              <w:rPr>
                <w:color w:val="auto"/>
                <w:sz w:val="24"/>
                <w:highlight w:val="none"/>
              </w:rPr>
              <w:t>申报情形</w:t>
            </w:r>
          </w:p>
        </w:tc>
        <w:tc>
          <w:tcPr>
            <w:tcW w:w="2887" w:type="dxa"/>
            <w:gridSpan w:val="2"/>
            <w:vAlign w:val="center"/>
          </w:tcPr>
          <w:p w14:paraId="1EB152A4">
            <w:pPr>
              <w:adjustRightInd w:val="0"/>
              <w:snapToGrid w:val="0"/>
              <w:jc w:val="left"/>
              <w:rPr>
                <w:color w:val="auto"/>
                <w:sz w:val="24"/>
                <w:highlight w:val="none"/>
              </w:rPr>
            </w:pPr>
            <w:r>
              <w:rPr>
                <w:rFonts w:hint="eastAsia" w:ascii="宋体" w:hAnsi="宋体" w:cs="宋体"/>
                <w:color w:val="auto"/>
                <w:sz w:val="24"/>
                <w:highlight w:val="none"/>
                <w:lang w:eastAsia="zh-CN"/>
              </w:rPr>
              <w:t>☑</w:t>
            </w:r>
            <w:r>
              <w:rPr>
                <w:color w:val="auto"/>
                <w:sz w:val="24"/>
                <w:highlight w:val="none"/>
              </w:rPr>
              <w:t>首次申报项目</w:t>
            </w:r>
          </w:p>
          <w:p w14:paraId="13BC2BCE">
            <w:pPr>
              <w:adjustRightInd w:val="0"/>
              <w:snapToGrid w:val="0"/>
              <w:jc w:val="left"/>
              <w:rPr>
                <w:color w:val="auto"/>
                <w:sz w:val="24"/>
                <w:highlight w:val="none"/>
              </w:rPr>
            </w:pPr>
            <w:r>
              <w:rPr>
                <w:rFonts w:hint="eastAsia"/>
                <w:color w:val="auto"/>
                <w:sz w:val="24"/>
                <w:highlight w:val="none"/>
              </w:rPr>
              <w:t>□</w:t>
            </w:r>
            <w:r>
              <w:rPr>
                <w:color w:val="auto"/>
                <w:sz w:val="24"/>
                <w:highlight w:val="none"/>
              </w:rPr>
              <w:t>不予批准后再次申报项目</w:t>
            </w:r>
          </w:p>
          <w:p w14:paraId="34E94997">
            <w:pPr>
              <w:adjustRightInd w:val="0"/>
              <w:snapToGrid w:val="0"/>
              <w:jc w:val="left"/>
              <w:rPr>
                <w:color w:val="auto"/>
                <w:sz w:val="24"/>
                <w:highlight w:val="none"/>
              </w:rPr>
            </w:pPr>
            <w:r>
              <w:rPr>
                <w:rFonts w:hint="eastAsia"/>
                <w:color w:val="auto"/>
                <w:sz w:val="24"/>
                <w:highlight w:val="none"/>
                <w:lang w:eastAsia="zh-CN"/>
              </w:rPr>
              <w:t>□</w:t>
            </w:r>
            <w:r>
              <w:rPr>
                <w:color w:val="auto"/>
                <w:sz w:val="24"/>
                <w:highlight w:val="none"/>
              </w:rPr>
              <w:t>超五年重新审核项目</w:t>
            </w:r>
          </w:p>
          <w:p w14:paraId="74B8F1D4">
            <w:pPr>
              <w:adjustRightInd w:val="0"/>
              <w:snapToGrid w:val="0"/>
              <w:jc w:val="left"/>
              <w:rPr>
                <w:color w:val="auto"/>
                <w:sz w:val="24"/>
                <w:highlight w:val="none"/>
              </w:rPr>
            </w:pPr>
            <w:r>
              <w:rPr>
                <w:rFonts w:hint="eastAsia"/>
                <w:color w:val="auto"/>
                <w:sz w:val="24"/>
                <w:highlight w:val="none"/>
                <w:lang w:eastAsia="zh-CN"/>
              </w:rPr>
              <w:t>□</w:t>
            </w:r>
            <w:r>
              <w:rPr>
                <w:color w:val="auto"/>
                <w:sz w:val="24"/>
                <w:highlight w:val="none"/>
              </w:rPr>
              <w:t>重大变动重新报批项目</w:t>
            </w:r>
          </w:p>
        </w:tc>
      </w:tr>
      <w:tr w14:paraId="77A31F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417" w:hRule="atLeast"/>
          <w:jc w:val="center"/>
        </w:trPr>
        <w:tc>
          <w:tcPr>
            <w:tcW w:w="2408" w:type="dxa"/>
            <w:gridSpan w:val="2"/>
            <w:tcMar>
              <w:top w:w="16" w:type="dxa"/>
              <w:left w:w="16" w:type="dxa"/>
              <w:right w:w="16" w:type="dxa"/>
            </w:tcMar>
            <w:vAlign w:val="center"/>
          </w:tcPr>
          <w:p w14:paraId="1EC733F0">
            <w:pPr>
              <w:adjustRightInd w:val="0"/>
              <w:snapToGrid w:val="0"/>
              <w:jc w:val="center"/>
              <w:rPr>
                <w:color w:val="auto"/>
                <w:sz w:val="24"/>
                <w:highlight w:val="none"/>
              </w:rPr>
            </w:pPr>
            <w:r>
              <w:rPr>
                <w:color w:val="auto"/>
                <w:sz w:val="24"/>
                <w:highlight w:val="none"/>
              </w:rPr>
              <w:t>项目审批（核准/</w:t>
            </w:r>
          </w:p>
          <w:p w14:paraId="5B203482">
            <w:pPr>
              <w:adjustRightInd w:val="0"/>
              <w:snapToGrid w:val="0"/>
              <w:jc w:val="center"/>
              <w:rPr>
                <w:color w:val="auto"/>
                <w:sz w:val="24"/>
                <w:highlight w:val="none"/>
              </w:rPr>
            </w:pPr>
            <w:r>
              <w:rPr>
                <w:color w:val="auto"/>
                <w:sz w:val="24"/>
                <w:highlight w:val="none"/>
              </w:rPr>
              <w:t>备案）部门（选填）</w:t>
            </w:r>
          </w:p>
        </w:tc>
        <w:tc>
          <w:tcPr>
            <w:tcW w:w="1810" w:type="dxa"/>
            <w:gridSpan w:val="2"/>
            <w:vAlign w:val="center"/>
          </w:tcPr>
          <w:p w14:paraId="7D8B5383">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柳州市行政审批局</w:t>
            </w:r>
          </w:p>
        </w:tc>
        <w:tc>
          <w:tcPr>
            <w:tcW w:w="2418" w:type="dxa"/>
            <w:gridSpan w:val="2"/>
            <w:vAlign w:val="center"/>
          </w:tcPr>
          <w:p w14:paraId="650FC532">
            <w:pPr>
              <w:adjustRightInd w:val="0"/>
              <w:snapToGrid w:val="0"/>
              <w:jc w:val="center"/>
              <w:rPr>
                <w:color w:val="auto"/>
                <w:sz w:val="24"/>
                <w:highlight w:val="none"/>
              </w:rPr>
            </w:pPr>
            <w:r>
              <w:rPr>
                <w:color w:val="auto"/>
                <w:sz w:val="24"/>
                <w:highlight w:val="none"/>
              </w:rPr>
              <w:t>项目审批（核准/</w:t>
            </w:r>
          </w:p>
          <w:p w14:paraId="290CEBB4">
            <w:pPr>
              <w:adjustRightInd w:val="0"/>
              <w:snapToGrid w:val="0"/>
              <w:jc w:val="center"/>
              <w:rPr>
                <w:color w:val="auto"/>
                <w:sz w:val="24"/>
                <w:highlight w:val="none"/>
              </w:rPr>
            </w:pPr>
            <w:r>
              <w:rPr>
                <w:color w:val="auto"/>
                <w:sz w:val="24"/>
                <w:highlight w:val="none"/>
              </w:rPr>
              <w:t>备案）文号（选填）</w:t>
            </w:r>
          </w:p>
        </w:tc>
        <w:tc>
          <w:tcPr>
            <w:tcW w:w="2887" w:type="dxa"/>
            <w:gridSpan w:val="2"/>
            <w:vAlign w:val="center"/>
          </w:tcPr>
          <w:p w14:paraId="6FBB1860">
            <w:pPr>
              <w:adjustRightInd w:val="0"/>
              <w:snapToGrid w:val="0"/>
              <w:jc w:val="center"/>
              <w:rPr>
                <w:color w:val="auto"/>
                <w:sz w:val="24"/>
                <w:highlight w:val="none"/>
              </w:rPr>
            </w:pPr>
            <w:r>
              <w:rPr>
                <w:rFonts w:hint="eastAsia"/>
                <w:color w:val="auto"/>
                <w:sz w:val="24"/>
                <w:highlight w:val="none"/>
              </w:rPr>
              <w:t>柳审批投资核〔2026〕9号</w:t>
            </w:r>
          </w:p>
        </w:tc>
      </w:tr>
      <w:tr w14:paraId="758812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408" w:type="dxa"/>
            <w:gridSpan w:val="2"/>
            <w:tcMar>
              <w:top w:w="16" w:type="dxa"/>
              <w:left w:w="16" w:type="dxa"/>
              <w:right w:w="16" w:type="dxa"/>
            </w:tcMar>
            <w:vAlign w:val="center"/>
          </w:tcPr>
          <w:p w14:paraId="4804D7FE">
            <w:pPr>
              <w:adjustRightInd w:val="0"/>
              <w:snapToGrid w:val="0"/>
              <w:jc w:val="center"/>
              <w:rPr>
                <w:color w:val="auto"/>
                <w:sz w:val="24"/>
                <w:highlight w:val="none"/>
              </w:rPr>
            </w:pPr>
            <w:r>
              <w:rPr>
                <w:color w:val="auto"/>
                <w:sz w:val="24"/>
                <w:highlight w:val="none"/>
              </w:rPr>
              <w:t>总投资（万元）</w:t>
            </w:r>
          </w:p>
        </w:tc>
        <w:tc>
          <w:tcPr>
            <w:tcW w:w="1810" w:type="dxa"/>
            <w:gridSpan w:val="2"/>
            <w:vAlign w:val="center"/>
          </w:tcPr>
          <w:p w14:paraId="7CDF18BE">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1015</w:t>
            </w:r>
          </w:p>
        </w:tc>
        <w:tc>
          <w:tcPr>
            <w:tcW w:w="2418" w:type="dxa"/>
            <w:gridSpan w:val="2"/>
            <w:tcMar>
              <w:top w:w="16" w:type="dxa"/>
              <w:left w:w="16" w:type="dxa"/>
              <w:right w:w="16" w:type="dxa"/>
            </w:tcMar>
            <w:vAlign w:val="center"/>
          </w:tcPr>
          <w:p w14:paraId="15C51954">
            <w:pPr>
              <w:adjustRightInd w:val="0"/>
              <w:snapToGrid w:val="0"/>
              <w:jc w:val="center"/>
              <w:rPr>
                <w:color w:val="auto"/>
                <w:sz w:val="24"/>
                <w:highlight w:val="none"/>
              </w:rPr>
            </w:pPr>
            <w:r>
              <w:rPr>
                <w:color w:val="auto"/>
                <w:sz w:val="24"/>
                <w:highlight w:val="none"/>
              </w:rPr>
              <w:t>环保投资（万元）</w:t>
            </w:r>
          </w:p>
        </w:tc>
        <w:tc>
          <w:tcPr>
            <w:tcW w:w="2887" w:type="dxa"/>
            <w:gridSpan w:val="2"/>
            <w:vAlign w:val="center"/>
          </w:tcPr>
          <w:p w14:paraId="456958FF">
            <w:pPr>
              <w:adjustRightInd w:val="0"/>
              <w:snapToGrid w:val="0"/>
              <w:jc w:val="center"/>
              <w:rPr>
                <w:rFonts w:hint="default" w:eastAsia="宋体"/>
                <w:color w:val="auto"/>
                <w:sz w:val="24"/>
                <w:highlight w:val="none"/>
                <w:lang w:val="en-US" w:eastAsia="zh-CN"/>
              </w:rPr>
            </w:pPr>
            <w:r>
              <w:rPr>
                <w:rFonts w:hint="default" w:eastAsia="宋体"/>
                <w:color w:val="auto"/>
                <w:sz w:val="24"/>
                <w:highlight w:val="none"/>
                <w:lang w:val="en-US" w:eastAsia="zh-CN"/>
              </w:rPr>
              <w:t>18.5</w:t>
            </w:r>
          </w:p>
        </w:tc>
      </w:tr>
      <w:tr w14:paraId="6139DA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408" w:type="dxa"/>
            <w:gridSpan w:val="2"/>
            <w:tcMar>
              <w:top w:w="16" w:type="dxa"/>
              <w:left w:w="16" w:type="dxa"/>
              <w:right w:w="16" w:type="dxa"/>
            </w:tcMar>
            <w:vAlign w:val="center"/>
          </w:tcPr>
          <w:p w14:paraId="0032910E">
            <w:pPr>
              <w:adjustRightInd w:val="0"/>
              <w:snapToGrid w:val="0"/>
              <w:jc w:val="center"/>
              <w:rPr>
                <w:color w:val="auto"/>
                <w:sz w:val="24"/>
                <w:highlight w:val="none"/>
              </w:rPr>
            </w:pPr>
            <w:r>
              <w:rPr>
                <w:color w:val="auto"/>
                <w:sz w:val="24"/>
                <w:highlight w:val="none"/>
              </w:rPr>
              <w:t>环保投资占比（%）</w:t>
            </w:r>
          </w:p>
        </w:tc>
        <w:tc>
          <w:tcPr>
            <w:tcW w:w="1810" w:type="dxa"/>
            <w:gridSpan w:val="2"/>
            <w:vAlign w:val="center"/>
          </w:tcPr>
          <w:p w14:paraId="2EF3766B">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1.82</w:t>
            </w:r>
          </w:p>
        </w:tc>
        <w:tc>
          <w:tcPr>
            <w:tcW w:w="2418" w:type="dxa"/>
            <w:gridSpan w:val="2"/>
            <w:tcMar>
              <w:top w:w="16" w:type="dxa"/>
              <w:left w:w="16" w:type="dxa"/>
              <w:right w:w="16" w:type="dxa"/>
            </w:tcMar>
            <w:vAlign w:val="center"/>
          </w:tcPr>
          <w:p w14:paraId="4D12A06B">
            <w:pPr>
              <w:adjustRightInd w:val="0"/>
              <w:snapToGrid w:val="0"/>
              <w:jc w:val="center"/>
              <w:rPr>
                <w:color w:val="auto"/>
                <w:sz w:val="24"/>
                <w:highlight w:val="none"/>
              </w:rPr>
            </w:pPr>
            <w:r>
              <w:rPr>
                <w:color w:val="auto"/>
                <w:sz w:val="24"/>
                <w:highlight w:val="none"/>
              </w:rPr>
              <w:t>施工工期</w:t>
            </w:r>
          </w:p>
        </w:tc>
        <w:tc>
          <w:tcPr>
            <w:tcW w:w="2887" w:type="dxa"/>
            <w:gridSpan w:val="2"/>
            <w:vAlign w:val="center"/>
          </w:tcPr>
          <w:p w14:paraId="5EA0FDEA">
            <w:pPr>
              <w:adjustRightInd w:val="0"/>
              <w:snapToGrid w:val="0"/>
              <w:jc w:val="center"/>
              <w:rPr>
                <w:color w:val="auto"/>
                <w:sz w:val="24"/>
                <w:highlight w:val="none"/>
              </w:rPr>
            </w:pPr>
            <w:r>
              <w:rPr>
                <w:rFonts w:hint="eastAsia"/>
                <w:color w:val="auto"/>
                <w:sz w:val="24"/>
                <w:highlight w:val="none"/>
                <w:lang w:val="en-US" w:eastAsia="zh-CN"/>
              </w:rPr>
              <w:t>4</w:t>
            </w:r>
            <w:r>
              <w:rPr>
                <w:rFonts w:hint="eastAsia"/>
                <w:color w:val="auto"/>
                <w:sz w:val="24"/>
                <w:highlight w:val="none"/>
              </w:rPr>
              <w:t>个月</w:t>
            </w:r>
          </w:p>
        </w:tc>
      </w:tr>
      <w:tr w14:paraId="2A8C65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077" w:hRule="atLeast"/>
          <w:jc w:val="center"/>
        </w:trPr>
        <w:tc>
          <w:tcPr>
            <w:tcW w:w="2408" w:type="dxa"/>
            <w:gridSpan w:val="2"/>
            <w:tcMar>
              <w:top w:w="16" w:type="dxa"/>
              <w:left w:w="16" w:type="dxa"/>
              <w:right w:w="16" w:type="dxa"/>
            </w:tcMar>
            <w:vAlign w:val="center"/>
          </w:tcPr>
          <w:p w14:paraId="036F92C6">
            <w:pPr>
              <w:adjustRightInd w:val="0"/>
              <w:snapToGrid w:val="0"/>
              <w:jc w:val="center"/>
              <w:rPr>
                <w:color w:val="auto"/>
                <w:sz w:val="24"/>
                <w:highlight w:val="none"/>
              </w:rPr>
            </w:pPr>
            <w:r>
              <w:rPr>
                <w:color w:val="auto"/>
                <w:sz w:val="24"/>
                <w:highlight w:val="none"/>
              </w:rPr>
              <w:t>是否开工建设</w:t>
            </w:r>
          </w:p>
        </w:tc>
        <w:tc>
          <w:tcPr>
            <w:tcW w:w="7115" w:type="dxa"/>
            <w:gridSpan w:val="6"/>
            <w:vAlign w:val="center"/>
          </w:tcPr>
          <w:p w14:paraId="6A5E6C2D">
            <w:pPr>
              <w:adjustRightInd w:val="0"/>
              <w:snapToGrid w:val="0"/>
              <w:ind w:firstLine="92"/>
              <w:jc w:val="left"/>
              <w:rPr>
                <w:color w:val="auto"/>
                <w:sz w:val="24"/>
                <w:highlight w:val="none"/>
              </w:rPr>
            </w:pPr>
            <w:r>
              <w:rPr>
                <w:rFonts w:hint="eastAsia" w:ascii="宋体" w:hAnsi="宋体" w:cs="宋体"/>
                <w:color w:val="auto"/>
                <w:sz w:val="24"/>
                <w:highlight w:val="none"/>
                <w:lang w:eastAsia="zh-CN"/>
              </w:rPr>
              <w:t>☑</w:t>
            </w:r>
            <w:r>
              <w:rPr>
                <w:color w:val="auto"/>
                <w:sz w:val="24"/>
                <w:highlight w:val="none"/>
              </w:rPr>
              <w:t>否</w:t>
            </w:r>
          </w:p>
          <w:p w14:paraId="4368E7AB">
            <w:pPr>
              <w:adjustRightInd w:val="0"/>
              <w:snapToGrid w:val="0"/>
              <w:ind w:firstLine="92"/>
              <w:jc w:val="left"/>
              <w:rPr>
                <w:color w:val="auto"/>
                <w:sz w:val="24"/>
                <w:highlight w:val="none"/>
              </w:rPr>
            </w:pPr>
            <w:r>
              <w:rPr>
                <w:rFonts w:hint="eastAsia"/>
                <w:color w:val="auto"/>
                <w:sz w:val="24"/>
                <w:highlight w:val="none"/>
              </w:rPr>
              <w:t>□</w:t>
            </w:r>
            <w:r>
              <w:rPr>
                <w:color w:val="auto"/>
                <w:sz w:val="24"/>
                <w:highlight w:val="none"/>
              </w:rPr>
              <w:t>是：</w:t>
            </w:r>
            <w:r>
              <w:rPr>
                <w:color w:val="auto"/>
                <w:sz w:val="24"/>
                <w:highlight w:val="none"/>
                <w:u w:val="single"/>
              </w:rPr>
              <w:t xml:space="preserve">                             </w:t>
            </w:r>
          </w:p>
        </w:tc>
      </w:tr>
      <w:tr w14:paraId="2FA395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24" w:hRule="atLeast"/>
          <w:jc w:val="center"/>
        </w:trPr>
        <w:tc>
          <w:tcPr>
            <w:tcW w:w="2408" w:type="dxa"/>
            <w:gridSpan w:val="2"/>
            <w:tcMar>
              <w:top w:w="16" w:type="dxa"/>
              <w:left w:w="16" w:type="dxa"/>
              <w:right w:w="16" w:type="dxa"/>
            </w:tcMar>
            <w:vAlign w:val="center"/>
          </w:tcPr>
          <w:p w14:paraId="671E2222">
            <w:pPr>
              <w:autoSpaceDE w:val="0"/>
              <w:autoSpaceDN w:val="0"/>
              <w:adjustRightInd w:val="0"/>
              <w:snapToGrid w:val="0"/>
              <w:jc w:val="center"/>
              <w:rPr>
                <w:color w:val="auto"/>
                <w:kern w:val="0"/>
                <w:sz w:val="24"/>
                <w:highlight w:val="none"/>
              </w:rPr>
            </w:pPr>
            <w:r>
              <w:rPr>
                <w:color w:val="auto"/>
                <w:kern w:val="0"/>
                <w:sz w:val="24"/>
                <w:highlight w:val="none"/>
              </w:rPr>
              <w:t>专项评价设置情况</w:t>
            </w:r>
          </w:p>
        </w:tc>
        <w:tc>
          <w:tcPr>
            <w:tcW w:w="7115" w:type="dxa"/>
            <w:gridSpan w:val="6"/>
            <w:tcMar>
              <w:top w:w="16" w:type="dxa"/>
              <w:left w:w="16" w:type="dxa"/>
              <w:right w:w="16" w:type="dxa"/>
            </w:tcMar>
            <w:vAlign w:val="center"/>
          </w:tcPr>
          <w:p w14:paraId="0A105543">
            <w:pPr>
              <w:adjustRightInd w:val="0"/>
              <w:snapToGrid w:val="0"/>
              <w:jc w:val="left"/>
              <w:rPr>
                <w:rFonts w:hint="default" w:eastAsia="宋体"/>
                <w:color w:val="auto"/>
                <w:sz w:val="24"/>
                <w:highlight w:val="none"/>
                <w:lang w:val="en-US" w:eastAsia="zh-CN"/>
              </w:rPr>
            </w:pPr>
            <w:r>
              <w:rPr>
                <w:rFonts w:hint="default" w:eastAsia="宋体"/>
                <w:color w:val="auto"/>
                <w:sz w:val="24"/>
                <w:highlight w:val="none"/>
                <w:lang w:val="en-US" w:eastAsia="zh-CN"/>
              </w:rPr>
              <w:t>根据《环境影响评价技术导则 输变电》（HJ 24-2020）</w:t>
            </w:r>
            <w:r>
              <w:rPr>
                <w:rFonts w:hint="eastAsia" w:eastAsia="宋体"/>
                <w:color w:val="auto"/>
                <w:sz w:val="24"/>
                <w:highlight w:val="none"/>
                <w:lang w:val="en-US" w:eastAsia="zh-CN"/>
              </w:rPr>
              <w:t>“</w:t>
            </w:r>
            <w:r>
              <w:rPr>
                <w:rFonts w:hint="default" w:eastAsia="宋体"/>
                <w:color w:val="auto"/>
                <w:sz w:val="24"/>
                <w:highlight w:val="none"/>
                <w:lang w:val="en-US" w:eastAsia="zh-CN"/>
              </w:rPr>
              <w:t>附录B</w:t>
            </w:r>
            <w:r>
              <w:rPr>
                <w:rFonts w:hint="eastAsia" w:eastAsia="宋体"/>
                <w:color w:val="auto"/>
                <w:sz w:val="24"/>
                <w:highlight w:val="none"/>
                <w:lang w:val="en-US" w:eastAsia="zh-CN"/>
              </w:rPr>
              <w:t>”</w:t>
            </w:r>
            <w:r>
              <w:rPr>
                <w:rFonts w:hint="default" w:eastAsia="宋体"/>
                <w:color w:val="auto"/>
                <w:sz w:val="24"/>
                <w:highlight w:val="none"/>
                <w:lang w:val="en-US" w:eastAsia="zh-CN"/>
              </w:rPr>
              <w:t>要求设置电磁环境影响专题评价</w:t>
            </w:r>
            <w:r>
              <w:rPr>
                <w:rFonts w:hint="eastAsia" w:eastAsia="宋体"/>
                <w:color w:val="auto"/>
                <w:sz w:val="24"/>
                <w:highlight w:val="none"/>
                <w:lang w:val="en-US" w:eastAsia="zh-CN"/>
              </w:rPr>
              <w:t>。</w:t>
            </w:r>
          </w:p>
        </w:tc>
      </w:tr>
      <w:tr w14:paraId="33961B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24" w:hRule="atLeast"/>
          <w:jc w:val="center"/>
        </w:trPr>
        <w:tc>
          <w:tcPr>
            <w:tcW w:w="2408" w:type="dxa"/>
            <w:gridSpan w:val="2"/>
            <w:tcMar>
              <w:top w:w="16" w:type="dxa"/>
              <w:left w:w="16" w:type="dxa"/>
              <w:right w:w="16" w:type="dxa"/>
            </w:tcMar>
            <w:vAlign w:val="center"/>
          </w:tcPr>
          <w:p w14:paraId="31B7991E">
            <w:pPr>
              <w:autoSpaceDE w:val="0"/>
              <w:autoSpaceDN w:val="0"/>
              <w:adjustRightInd w:val="0"/>
              <w:snapToGrid w:val="0"/>
              <w:jc w:val="center"/>
              <w:rPr>
                <w:color w:val="auto"/>
                <w:kern w:val="0"/>
                <w:sz w:val="24"/>
                <w:highlight w:val="none"/>
              </w:rPr>
            </w:pPr>
            <w:r>
              <w:rPr>
                <w:color w:val="auto"/>
                <w:sz w:val="24"/>
                <w:highlight w:val="none"/>
              </w:rPr>
              <w:t>规划情况</w:t>
            </w:r>
          </w:p>
        </w:tc>
        <w:tc>
          <w:tcPr>
            <w:tcW w:w="7115" w:type="dxa"/>
            <w:gridSpan w:val="6"/>
            <w:tcMar>
              <w:top w:w="16" w:type="dxa"/>
              <w:left w:w="16" w:type="dxa"/>
              <w:right w:w="16" w:type="dxa"/>
            </w:tcMar>
            <w:vAlign w:val="center"/>
          </w:tcPr>
          <w:p w14:paraId="4700930C">
            <w:pPr>
              <w:adjustRightInd w:val="0"/>
              <w:snapToGrid w:val="0"/>
              <w:jc w:val="center"/>
              <w:rPr>
                <w:rFonts w:hint="default" w:eastAsia="宋体"/>
                <w:color w:val="auto"/>
                <w:sz w:val="24"/>
                <w:highlight w:val="none"/>
                <w:lang w:val="en-US" w:eastAsia="zh-CN"/>
              </w:rPr>
            </w:pPr>
            <w:r>
              <w:rPr>
                <w:rFonts w:hint="eastAsia" w:eastAsia="宋体"/>
                <w:color w:val="auto"/>
                <w:sz w:val="24"/>
                <w:highlight w:val="none"/>
                <w:lang w:val="en-US" w:eastAsia="zh-CN"/>
              </w:rPr>
              <w:t>/</w:t>
            </w:r>
          </w:p>
        </w:tc>
      </w:tr>
      <w:tr w14:paraId="0988F8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24" w:hRule="atLeast"/>
          <w:jc w:val="center"/>
        </w:trPr>
        <w:tc>
          <w:tcPr>
            <w:tcW w:w="2408" w:type="dxa"/>
            <w:gridSpan w:val="2"/>
            <w:tcMar>
              <w:top w:w="16" w:type="dxa"/>
              <w:left w:w="16" w:type="dxa"/>
              <w:right w:w="16" w:type="dxa"/>
            </w:tcMar>
            <w:vAlign w:val="center"/>
          </w:tcPr>
          <w:p w14:paraId="20B24820">
            <w:pPr>
              <w:autoSpaceDE w:val="0"/>
              <w:autoSpaceDN w:val="0"/>
              <w:adjustRightInd w:val="0"/>
              <w:snapToGrid w:val="0"/>
              <w:jc w:val="center"/>
              <w:rPr>
                <w:color w:val="auto"/>
                <w:sz w:val="24"/>
                <w:highlight w:val="none"/>
              </w:rPr>
            </w:pPr>
            <w:r>
              <w:rPr>
                <w:color w:val="auto"/>
                <w:sz w:val="24"/>
                <w:highlight w:val="none"/>
              </w:rPr>
              <w:t>规划环境影响</w:t>
            </w:r>
          </w:p>
          <w:p w14:paraId="7285A4C6">
            <w:pPr>
              <w:autoSpaceDE w:val="0"/>
              <w:autoSpaceDN w:val="0"/>
              <w:adjustRightInd w:val="0"/>
              <w:snapToGrid w:val="0"/>
              <w:jc w:val="center"/>
              <w:rPr>
                <w:color w:val="auto"/>
                <w:kern w:val="0"/>
                <w:sz w:val="24"/>
                <w:highlight w:val="none"/>
              </w:rPr>
            </w:pPr>
            <w:r>
              <w:rPr>
                <w:color w:val="auto"/>
                <w:sz w:val="24"/>
                <w:highlight w:val="none"/>
              </w:rPr>
              <w:t>评价情况</w:t>
            </w:r>
          </w:p>
        </w:tc>
        <w:tc>
          <w:tcPr>
            <w:tcW w:w="7115" w:type="dxa"/>
            <w:gridSpan w:val="6"/>
            <w:tcMar>
              <w:top w:w="16" w:type="dxa"/>
              <w:left w:w="16" w:type="dxa"/>
              <w:right w:w="16" w:type="dxa"/>
            </w:tcMar>
            <w:vAlign w:val="center"/>
          </w:tcPr>
          <w:p w14:paraId="7C64E3CE">
            <w:pPr>
              <w:adjustRightInd w:val="0"/>
              <w:snapToGrid w:val="0"/>
              <w:jc w:val="center"/>
              <w:rPr>
                <w:rFonts w:hint="default" w:eastAsia="宋体"/>
                <w:color w:val="auto"/>
                <w:sz w:val="24"/>
                <w:highlight w:val="none"/>
                <w:lang w:val="en-US" w:eastAsia="zh-CN"/>
              </w:rPr>
            </w:pPr>
            <w:r>
              <w:rPr>
                <w:rFonts w:hint="eastAsia" w:eastAsia="宋体"/>
                <w:color w:val="auto"/>
                <w:sz w:val="24"/>
                <w:highlight w:val="none"/>
                <w:lang w:val="en-US" w:eastAsia="zh-CN"/>
              </w:rPr>
              <w:t>/</w:t>
            </w:r>
          </w:p>
        </w:tc>
      </w:tr>
      <w:tr w14:paraId="1A450C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24" w:hRule="atLeast"/>
          <w:jc w:val="center"/>
        </w:trPr>
        <w:tc>
          <w:tcPr>
            <w:tcW w:w="2408" w:type="dxa"/>
            <w:gridSpan w:val="2"/>
            <w:tcMar>
              <w:top w:w="16" w:type="dxa"/>
              <w:left w:w="16" w:type="dxa"/>
              <w:right w:w="16" w:type="dxa"/>
            </w:tcMar>
            <w:vAlign w:val="center"/>
          </w:tcPr>
          <w:p w14:paraId="66B98660">
            <w:pPr>
              <w:autoSpaceDE w:val="0"/>
              <w:autoSpaceDN w:val="0"/>
              <w:adjustRightInd w:val="0"/>
              <w:snapToGrid w:val="0"/>
              <w:jc w:val="center"/>
              <w:rPr>
                <w:color w:val="auto"/>
                <w:kern w:val="0"/>
                <w:sz w:val="24"/>
                <w:highlight w:val="none"/>
              </w:rPr>
            </w:pPr>
            <w:r>
              <w:rPr>
                <w:color w:val="auto"/>
                <w:kern w:val="0"/>
                <w:sz w:val="24"/>
                <w:highlight w:val="none"/>
              </w:rPr>
              <w:t>规划及</w:t>
            </w:r>
            <w:r>
              <w:rPr>
                <w:color w:val="auto"/>
                <w:sz w:val="24"/>
                <w:highlight w:val="none"/>
              </w:rPr>
              <w:t>规划环境影响评价</w:t>
            </w:r>
            <w:r>
              <w:rPr>
                <w:color w:val="auto"/>
                <w:kern w:val="0"/>
                <w:sz w:val="24"/>
                <w:highlight w:val="none"/>
              </w:rPr>
              <w:t>符合性分析</w:t>
            </w:r>
          </w:p>
        </w:tc>
        <w:tc>
          <w:tcPr>
            <w:tcW w:w="7115" w:type="dxa"/>
            <w:gridSpan w:val="6"/>
            <w:tcMar>
              <w:top w:w="16" w:type="dxa"/>
              <w:left w:w="16" w:type="dxa"/>
              <w:right w:w="16" w:type="dxa"/>
            </w:tcMar>
            <w:vAlign w:val="center"/>
          </w:tcPr>
          <w:p w14:paraId="460E36C6">
            <w:pPr>
              <w:adjustRightInd w:val="0"/>
              <w:snapToGrid w:val="0"/>
              <w:jc w:val="center"/>
              <w:rPr>
                <w:rFonts w:hint="default" w:eastAsia="宋体"/>
                <w:color w:val="auto"/>
                <w:sz w:val="24"/>
                <w:highlight w:val="none"/>
                <w:lang w:val="en-US" w:eastAsia="zh-CN"/>
              </w:rPr>
            </w:pPr>
            <w:r>
              <w:rPr>
                <w:rFonts w:hint="eastAsia" w:eastAsia="宋体"/>
                <w:color w:val="auto"/>
                <w:sz w:val="24"/>
                <w:highlight w:val="none"/>
                <w:lang w:val="en-US" w:eastAsia="zh-CN"/>
              </w:rPr>
              <w:t>/</w:t>
            </w:r>
          </w:p>
        </w:tc>
      </w:tr>
      <w:tr w14:paraId="6DF1EB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3552" w:hRule="atLeast"/>
          <w:jc w:val="center"/>
        </w:trPr>
        <w:tc>
          <w:tcPr>
            <w:tcW w:w="598" w:type="dxa"/>
            <w:tcMar>
              <w:top w:w="16" w:type="dxa"/>
              <w:left w:w="16" w:type="dxa"/>
              <w:right w:w="16" w:type="dxa"/>
            </w:tcMar>
            <w:vAlign w:val="center"/>
          </w:tcPr>
          <w:p w14:paraId="685B3F39">
            <w:pPr>
              <w:autoSpaceDE w:val="0"/>
              <w:autoSpaceDN w:val="0"/>
              <w:adjustRightInd w:val="0"/>
              <w:snapToGrid w:val="0"/>
              <w:jc w:val="center"/>
              <w:rPr>
                <w:color w:val="auto"/>
                <w:kern w:val="0"/>
                <w:sz w:val="24"/>
                <w:highlight w:val="none"/>
              </w:rPr>
            </w:pPr>
            <w:r>
              <w:rPr>
                <w:rFonts w:hint="eastAsia"/>
                <w:color w:val="auto"/>
                <w:kern w:val="0"/>
                <w:sz w:val="24"/>
                <w:highlight w:val="none"/>
              </w:rPr>
              <w:t>其他符合性分析</w:t>
            </w:r>
          </w:p>
        </w:tc>
        <w:tc>
          <w:tcPr>
            <w:tcW w:w="8925" w:type="dxa"/>
            <w:gridSpan w:val="7"/>
            <w:tcMar>
              <w:top w:w="16" w:type="dxa"/>
              <w:left w:w="16" w:type="dxa"/>
              <w:right w:w="16" w:type="dxa"/>
            </w:tcMar>
            <w:vAlign w:val="center"/>
          </w:tcPr>
          <w:p w14:paraId="4736E76F">
            <w:pPr>
              <w:autoSpaceDN w:val="0"/>
              <w:adjustRightInd w:val="0"/>
              <w:snapToGrid w:val="0"/>
              <w:spacing w:line="360" w:lineRule="auto"/>
              <w:rPr>
                <w:b/>
                <w:color w:val="auto"/>
                <w:kern w:val="0"/>
                <w:sz w:val="24"/>
                <w:highlight w:val="none"/>
              </w:rPr>
            </w:pPr>
            <w:r>
              <w:rPr>
                <w:b/>
                <w:color w:val="auto"/>
                <w:kern w:val="0"/>
                <w:sz w:val="24"/>
                <w:highlight w:val="none"/>
              </w:rPr>
              <w:t>1.</w:t>
            </w:r>
            <w:r>
              <w:rPr>
                <w:rFonts w:hint="eastAsia"/>
                <w:b/>
                <w:color w:val="auto"/>
                <w:kern w:val="0"/>
                <w:sz w:val="24"/>
                <w:highlight w:val="none"/>
              </w:rPr>
              <w:t>项目与</w:t>
            </w:r>
            <w:r>
              <w:rPr>
                <w:rFonts w:hint="eastAsia"/>
                <w:b/>
                <w:color w:val="auto"/>
                <w:kern w:val="0"/>
                <w:sz w:val="24"/>
                <w:highlight w:val="none"/>
                <w:lang w:eastAsia="zh-CN"/>
              </w:rPr>
              <w:t>柳州市</w:t>
            </w:r>
            <w:r>
              <w:rPr>
                <w:rFonts w:hint="eastAsia"/>
                <w:b/>
                <w:color w:val="auto"/>
                <w:kern w:val="0"/>
                <w:sz w:val="24"/>
                <w:highlight w:val="none"/>
              </w:rPr>
              <w:t>生态环境分区管控的符合性</w:t>
            </w:r>
          </w:p>
          <w:p w14:paraId="2059624C">
            <w:pPr>
              <w:spacing w:line="360" w:lineRule="auto"/>
              <w:ind w:firstLine="480" w:firstLineChars="200"/>
              <w:rPr>
                <w:color w:val="auto"/>
                <w:sz w:val="24"/>
                <w:highlight w:val="none"/>
              </w:rPr>
            </w:pPr>
            <w:r>
              <w:rPr>
                <w:rFonts w:hint="eastAsia" w:ascii="宋体" w:hAnsi="宋体" w:cs="宋体"/>
                <w:color w:val="auto"/>
                <w:sz w:val="24"/>
                <w:highlight w:val="none"/>
              </w:rPr>
              <w:t>（1）</w:t>
            </w:r>
            <w:r>
              <w:rPr>
                <w:rFonts w:hint="eastAsia"/>
                <w:color w:val="auto"/>
                <w:sz w:val="24"/>
                <w:highlight w:val="none"/>
              </w:rPr>
              <w:t>与生态保护红线的符合性</w:t>
            </w:r>
          </w:p>
          <w:p w14:paraId="27677626">
            <w:pPr>
              <w:pStyle w:val="120"/>
              <w:ind w:firstLine="480"/>
              <w:rPr>
                <w:color w:val="auto"/>
                <w:highlight w:val="none"/>
              </w:rPr>
            </w:pPr>
            <w:r>
              <w:rPr>
                <w:rFonts w:hint="eastAsia"/>
                <w:color w:val="auto"/>
                <w:highlight w:val="none"/>
              </w:rPr>
              <w:t>根据查阅资料及通过</w:t>
            </w:r>
            <w:r>
              <w:rPr>
                <w:rFonts w:hint="eastAsia"/>
                <w:color w:val="auto"/>
                <w:highlight w:val="none"/>
                <w:lang w:eastAsia="zh-CN"/>
              </w:rPr>
              <w:t>“</w:t>
            </w:r>
            <w:r>
              <w:rPr>
                <w:rFonts w:hint="eastAsia"/>
                <w:color w:val="auto"/>
                <w:highlight w:val="none"/>
              </w:rPr>
              <w:t>广西生态云建设项目准入研判系统</w:t>
            </w:r>
            <w:r>
              <w:rPr>
                <w:rFonts w:hint="eastAsia"/>
                <w:color w:val="auto"/>
                <w:highlight w:val="none"/>
                <w:lang w:eastAsia="zh-CN"/>
              </w:rPr>
              <w:t>”</w:t>
            </w:r>
            <w:r>
              <w:rPr>
                <w:rFonts w:hint="eastAsia"/>
                <w:color w:val="auto"/>
                <w:highlight w:val="none"/>
              </w:rPr>
              <w:t>核实，</w:t>
            </w:r>
            <w:r>
              <w:rPr>
                <w:rFonts w:hint="eastAsia"/>
                <w:color w:val="auto"/>
                <w:highlight w:val="none"/>
                <w:lang w:val="en-US" w:eastAsia="zh-CN"/>
              </w:rPr>
              <w:t>本项目</w:t>
            </w:r>
            <w:r>
              <w:rPr>
                <w:rFonts w:hint="eastAsia"/>
                <w:color w:val="auto"/>
                <w:sz w:val="24"/>
                <w:highlight w:val="none"/>
                <w:lang w:eastAsia="zh-CN"/>
              </w:rPr>
              <w:t>110kV</w:t>
            </w:r>
            <w:r>
              <w:rPr>
                <w:rFonts w:hint="eastAsia"/>
                <w:color w:val="auto"/>
                <w:sz w:val="24"/>
                <w:highlight w:val="none"/>
                <w:lang w:val="en-US" w:eastAsia="zh-CN"/>
              </w:rPr>
              <w:t>输电线路</w:t>
            </w:r>
            <w:r>
              <w:rPr>
                <w:rFonts w:hint="eastAsia"/>
                <w:color w:val="auto"/>
                <w:highlight w:val="none"/>
              </w:rPr>
              <w:t>生态环境评价范围</w:t>
            </w:r>
            <w:r>
              <w:rPr>
                <w:rFonts w:hint="eastAsia"/>
                <w:color w:val="auto"/>
                <w:highlight w:val="none"/>
                <w:lang w:val="en-US" w:eastAsia="zh-CN"/>
              </w:rPr>
              <w:t>均</w:t>
            </w:r>
            <w:r>
              <w:rPr>
                <w:rFonts w:hint="eastAsia"/>
                <w:color w:val="auto"/>
                <w:highlight w:val="none"/>
              </w:rPr>
              <w:t>不涉及</w:t>
            </w:r>
            <w:r>
              <w:rPr>
                <w:rFonts w:hint="eastAsia"/>
                <w:color w:val="auto"/>
                <w:highlight w:val="none"/>
                <w:lang w:eastAsia="zh-CN"/>
              </w:rPr>
              <w:t>柳州市</w:t>
            </w:r>
            <w:r>
              <w:rPr>
                <w:rFonts w:hint="eastAsia"/>
                <w:color w:val="auto"/>
                <w:highlight w:val="none"/>
              </w:rPr>
              <w:t>生态保护红线。</w:t>
            </w:r>
          </w:p>
          <w:p w14:paraId="3D3CBF01">
            <w:pPr>
              <w:spacing w:line="360" w:lineRule="auto"/>
              <w:ind w:firstLine="480" w:firstLineChars="200"/>
              <w:rPr>
                <w:color w:val="auto"/>
                <w:sz w:val="24"/>
                <w:highlight w:val="none"/>
              </w:rPr>
            </w:pPr>
            <w:r>
              <w:rPr>
                <w:rFonts w:hint="eastAsia"/>
                <w:color w:val="auto"/>
                <w:sz w:val="24"/>
                <w:highlight w:val="none"/>
              </w:rPr>
              <w:t>（2）与环境质量底线的符合性</w:t>
            </w:r>
          </w:p>
          <w:p w14:paraId="3E4A4BAA">
            <w:pPr>
              <w:pStyle w:val="259"/>
              <w:snapToGrid/>
              <w:spacing w:line="348" w:lineRule="auto"/>
              <w:ind w:firstLine="480"/>
              <w:jc w:val="both"/>
              <w:rPr>
                <w:color w:val="auto"/>
                <w:highlight w:val="none"/>
              </w:rPr>
            </w:pPr>
            <w:r>
              <w:rPr>
                <w:color w:val="auto"/>
                <w:kern w:val="0"/>
                <w:sz w:val="24"/>
                <w:highlight w:val="none"/>
              </w:rPr>
              <w:t>本项目属电力基础设施建设，项目运行期不产生废水及扬尘，对周围水环境</w:t>
            </w:r>
            <w:r>
              <w:rPr>
                <w:rFonts w:hint="eastAsia"/>
                <w:color w:val="auto"/>
                <w:kern w:val="0"/>
                <w:sz w:val="24"/>
                <w:highlight w:val="none"/>
                <w:lang w:eastAsia="zh-CN"/>
              </w:rPr>
              <w:t>、</w:t>
            </w:r>
            <w:r>
              <w:rPr>
                <w:rFonts w:hint="eastAsia"/>
                <w:color w:val="auto"/>
                <w:kern w:val="0"/>
                <w:sz w:val="24"/>
                <w:highlight w:val="none"/>
                <w:lang w:val="en-US" w:eastAsia="zh-CN"/>
              </w:rPr>
              <w:t>声环境</w:t>
            </w:r>
            <w:r>
              <w:rPr>
                <w:color w:val="auto"/>
                <w:kern w:val="0"/>
                <w:sz w:val="24"/>
                <w:highlight w:val="none"/>
              </w:rPr>
              <w:t>及大气环境不产生影响</w:t>
            </w:r>
            <w:r>
              <w:rPr>
                <w:color w:val="auto"/>
                <w:highlight w:val="none"/>
              </w:rPr>
              <w:t>。</w:t>
            </w:r>
          </w:p>
          <w:p w14:paraId="43458A81">
            <w:pPr>
              <w:spacing w:line="348" w:lineRule="auto"/>
              <w:ind w:firstLine="480" w:firstLineChars="200"/>
              <w:rPr>
                <w:color w:val="auto"/>
                <w:sz w:val="24"/>
                <w:highlight w:val="none"/>
              </w:rPr>
            </w:pPr>
            <w:r>
              <w:rPr>
                <w:color w:val="auto"/>
                <w:sz w:val="24"/>
                <w:highlight w:val="none"/>
              </w:rPr>
              <w:t>根据现场监测结果，</w:t>
            </w:r>
            <w:r>
              <w:rPr>
                <w:rFonts w:hint="eastAsia"/>
                <w:color w:val="auto"/>
                <w:sz w:val="24"/>
                <w:highlight w:val="none"/>
                <w:lang w:val="en-US" w:eastAsia="zh-CN"/>
              </w:rPr>
              <w:t>线路沿线及电磁环境敏感目标</w:t>
            </w:r>
            <w:r>
              <w:rPr>
                <w:color w:val="auto"/>
                <w:sz w:val="24"/>
                <w:highlight w:val="none"/>
              </w:rPr>
              <w:t>电磁环境监测结果均满足《电磁环境控制限值》（</w:t>
            </w:r>
            <w:r>
              <w:rPr>
                <w:rFonts w:hint="eastAsia"/>
                <w:color w:val="auto"/>
                <w:sz w:val="24"/>
                <w:highlight w:val="none"/>
                <w:lang w:eastAsia="zh-CN"/>
              </w:rPr>
              <w:t xml:space="preserve">GB </w:t>
            </w:r>
            <w:r>
              <w:rPr>
                <w:color w:val="auto"/>
                <w:sz w:val="24"/>
                <w:highlight w:val="none"/>
              </w:rPr>
              <w:t>8702-2014）中4000V/m及100μT的公众曝露控制限值要求。通过预测分析，本项目建成投运后，项目所在区域内的工频电场强度、工频磁感应强度仍将满足《电磁环境控制限值》（</w:t>
            </w:r>
            <w:r>
              <w:rPr>
                <w:rFonts w:hint="eastAsia"/>
                <w:color w:val="auto"/>
                <w:sz w:val="24"/>
                <w:highlight w:val="none"/>
                <w:lang w:eastAsia="zh-CN"/>
              </w:rPr>
              <w:t xml:space="preserve">GB </w:t>
            </w:r>
            <w:r>
              <w:rPr>
                <w:color w:val="auto"/>
                <w:sz w:val="24"/>
                <w:highlight w:val="none"/>
              </w:rPr>
              <w:t>8702-2014）中4000V/m及100μT的公众曝露控制限值要求。</w:t>
            </w:r>
          </w:p>
          <w:p w14:paraId="5C21EFCF">
            <w:pPr>
              <w:pStyle w:val="259"/>
              <w:snapToGrid/>
              <w:spacing w:line="348" w:lineRule="auto"/>
              <w:ind w:firstLine="480"/>
              <w:rPr>
                <w:color w:val="auto"/>
                <w:highlight w:val="none"/>
              </w:rPr>
            </w:pPr>
            <w:r>
              <w:rPr>
                <w:color w:val="auto"/>
                <w:highlight w:val="none"/>
              </w:rPr>
              <w:t>因此，在严格按照设计规范基础上，并落实本报告表提出的环保措施后，各项污染因子均能满足相应限值要求，不会改变区域环境质量等级，符合环境质量底线要求。</w:t>
            </w:r>
          </w:p>
          <w:p w14:paraId="62D20A15">
            <w:pPr>
              <w:spacing w:line="360" w:lineRule="auto"/>
              <w:ind w:firstLine="480" w:firstLineChars="200"/>
              <w:rPr>
                <w:color w:val="auto"/>
                <w:sz w:val="24"/>
                <w:highlight w:val="none"/>
              </w:rPr>
            </w:pPr>
            <w:r>
              <w:rPr>
                <w:rFonts w:hint="eastAsia"/>
                <w:color w:val="auto"/>
                <w:sz w:val="24"/>
                <w:highlight w:val="none"/>
              </w:rPr>
              <w:t>（3）与资源利用上线的符合性</w:t>
            </w:r>
          </w:p>
          <w:p w14:paraId="3019D939">
            <w:pPr>
              <w:autoSpaceDE w:val="0"/>
              <w:autoSpaceDN w:val="0"/>
              <w:adjustRightInd w:val="0"/>
              <w:snapToGrid w:val="0"/>
              <w:spacing w:line="360" w:lineRule="auto"/>
              <w:ind w:firstLine="480" w:firstLineChars="200"/>
              <w:rPr>
                <w:color w:val="auto"/>
                <w:kern w:val="0"/>
                <w:sz w:val="24"/>
                <w:highlight w:val="none"/>
              </w:rPr>
            </w:pPr>
            <w:r>
              <w:rPr>
                <w:color w:val="auto"/>
                <w:kern w:val="0"/>
                <w:sz w:val="24"/>
                <w:highlight w:val="none"/>
              </w:rPr>
              <w:t>本项目会占用一定量的土地资源，输电线路工程</w:t>
            </w:r>
            <w:r>
              <w:rPr>
                <w:rFonts w:hint="eastAsia"/>
                <w:color w:val="auto"/>
                <w:kern w:val="0"/>
                <w:sz w:val="24"/>
                <w:highlight w:val="none"/>
                <w:lang w:val="en-US" w:eastAsia="zh-CN"/>
              </w:rPr>
              <w:t>主要</w:t>
            </w:r>
            <w:r>
              <w:rPr>
                <w:color w:val="auto"/>
                <w:kern w:val="0"/>
                <w:sz w:val="24"/>
                <w:highlight w:val="none"/>
              </w:rPr>
              <w:t>为</w:t>
            </w:r>
            <w:r>
              <w:rPr>
                <w:rFonts w:hint="eastAsia"/>
                <w:color w:val="auto"/>
                <w:kern w:val="0"/>
                <w:sz w:val="24"/>
                <w:highlight w:val="none"/>
                <w:lang w:val="en-US" w:eastAsia="zh-CN"/>
              </w:rPr>
              <w:t>地埋电缆，且主要利用市政建设的电缆沟敷设</w:t>
            </w:r>
            <w:r>
              <w:rPr>
                <w:color w:val="auto"/>
                <w:kern w:val="0"/>
                <w:sz w:val="24"/>
                <w:highlight w:val="none"/>
              </w:rPr>
              <w:t>，需占用的土地较少；</w:t>
            </w:r>
            <w:r>
              <w:rPr>
                <w:rFonts w:hint="default" w:ascii="Times New Roman" w:hAnsi="Times New Roman" w:cs="Times New Roman"/>
                <w:color w:val="auto"/>
                <w:sz w:val="24"/>
                <w:highlight w:val="none"/>
              </w:rPr>
              <w:t>调整黄村变接线方式</w:t>
            </w:r>
            <w:r>
              <w:rPr>
                <w:rFonts w:hint="eastAsia" w:cs="Times New Roman"/>
                <w:color w:val="auto"/>
                <w:sz w:val="24"/>
                <w:highlight w:val="none"/>
                <w:lang w:val="en-US" w:eastAsia="zh-CN"/>
              </w:rPr>
              <w:t>跳线段线路不新建杆塔，河北站内段电缆及终端塔均位于河北站围墙范围内，不新征占地</w:t>
            </w:r>
            <w:r>
              <w:rPr>
                <w:rFonts w:hint="eastAsia" w:cs="Times New Roman"/>
                <w:color w:val="auto"/>
                <w:sz w:val="24"/>
                <w:highlight w:val="none"/>
                <w:lang w:eastAsia="zh-CN"/>
              </w:rPr>
              <w:t>。</w:t>
            </w:r>
            <w:r>
              <w:rPr>
                <w:color w:val="auto"/>
                <w:kern w:val="0"/>
                <w:sz w:val="24"/>
                <w:highlight w:val="none"/>
              </w:rPr>
              <w:t>本项目</w:t>
            </w:r>
            <w:r>
              <w:rPr>
                <w:rFonts w:hint="eastAsia"/>
                <w:color w:val="auto"/>
                <w:kern w:val="0"/>
                <w:sz w:val="24"/>
                <w:highlight w:val="none"/>
              </w:rPr>
              <w:t>线路路径</w:t>
            </w:r>
            <w:r>
              <w:rPr>
                <w:rFonts w:hint="eastAsia"/>
                <w:color w:val="auto"/>
                <w:kern w:val="0"/>
                <w:sz w:val="24"/>
                <w:highlight w:val="none"/>
                <w:lang w:val="en-US" w:eastAsia="zh-CN"/>
              </w:rPr>
              <w:t>走向</w:t>
            </w:r>
            <w:r>
              <w:rPr>
                <w:color w:val="auto"/>
                <w:kern w:val="0"/>
                <w:sz w:val="24"/>
                <w:highlight w:val="none"/>
              </w:rPr>
              <w:t>已征得</w:t>
            </w:r>
            <w:r>
              <w:rPr>
                <w:rFonts w:hint="eastAsia"/>
                <w:color w:val="auto"/>
                <w:kern w:val="0"/>
                <w:sz w:val="24"/>
                <w:highlight w:val="none"/>
                <w:lang w:eastAsia="zh-CN"/>
              </w:rPr>
              <w:t>柳州市</w:t>
            </w:r>
            <w:r>
              <w:rPr>
                <w:rFonts w:hint="eastAsia"/>
                <w:color w:val="auto"/>
                <w:kern w:val="0"/>
                <w:sz w:val="24"/>
                <w:highlight w:val="none"/>
              </w:rPr>
              <w:t>自然资源</w:t>
            </w:r>
            <w:r>
              <w:rPr>
                <w:rFonts w:hint="eastAsia"/>
                <w:color w:val="auto"/>
                <w:kern w:val="0"/>
                <w:sz w:val="24"/>
                <w:highlight w:val="none"/>
                <w:lang w:val="en-US" w:eastAsia="zh-CN"/>
              </w:rPr>
              <w:t>和规划</w:t>
            </w:r>
            <w:r>
              <w:rPr>
                <w:rFonts w:hint="eastAsia"/>
                <w:color w:val="auto"/>
                <w:kern w:val="0"/>
                <w:sz w:val="24"/>
                <w:highlight w:val="none"/>
              </w:rPr>
              <w:t>局的</w:t>
            </w:r>
            <w:r>
              <w:rPr>
                <w:color w:val="auto"/>
                <w:kern w:val="0"/>
                <w:sz w:val="24"/>
                <w:highlight w:val="none"/>
              </w:rPr>
              <w:t>原则同意</w:t>
            </w:r>
            <w:r>
              <w:rPr>
                <w:rFonts w:hint="eastAsia"/>
                <w:color w:val="auto"/>
                <w:kern w:val="0"/>
                <w:sz w:val="24"/>
                <w:highlight w:val="none"/>
              </w:rPr>
              <w:t>，项目用地符合</w:t>
            </w:r>
            <w:r>
              <w:rPr>
                <w:rFonts w:hint="eastAsia"/>
                <w:color w:val="auto"/>
                <w:kern w:val="0"/>
                <w:sz w:val="24"/>
                <w:highlight w:val="none"/>
                <w:lang w:eastAsia="zh-CN"/>
              </w:rPr>
              <w:t>柳州市</w:t>
            </w:r>
            <w:r>
              <w:rPr>
                <w:rFonts w:hint="eastAsia"/>
                <w:color w:val="auto"/>
                <w:kern w:val="0"/>
                <w:sz w:val="24"/>
                <w:highlight w:val="none"/>
                <w:lang w:val="en-US" w:eastAsia="zh-CN"/>
              </w:rPr>
              <w:t>国土空间规划</w:t>
            </w:r>
            <w:r>
              <w:rPr>
                <w:color w:val="auto"/>
                <w:kern w:val="0"/>
                <w:sz w:val="24"/>
                <w:highlight w:val="none"/>
              </w:rPr>
              <w:t>；项目施工期用水量很小，运行期无需使用水资源，项目所在地水资源量可以承载，不会突破区域资源利用上限。</w:t>
            </w:r>
          </w:p>
          <w:p w14:paraId="1540CB7A">
            <w:pPr>
              <w:spacing w:line="360" w:lineRule="auto"/>
              <w:ind w:firstLine="480" w:firstLineChars="200"/>
              <w:rPr>
                <w:color w:val="auto"/>
                <w:sz w:val="24"/>
                <w:highlight w:val="none"/>
              </w:rPr>
            </w:pPr>
            <w:r>
              <w:rPr>
                <w:color w:val="auto"/>
                <w:sz w:val="24"/>
                <w:highlight w:val="none"/>
              </w:rPr>
              <w:t>（4）</w:t>
            </w:r>
            <w:r>
              <w:rPr>
                <w:rFonts w:hint="eastAsia"/>
                <w:color w:val="auto"/>
                <w:sz w:val="24"/>
                <w:highlight w:val="none"/>
              </w:rPr>
              <w:t>与生态环境准入清单的符合性</w:t>
            </w:r>
          </w:p>
          <w:p w14:paraId="109ADFDE">
            <w:pPr>
              <w:keepNext w:val="0"/>
              <w:keepLines w:val="0"/>
              <w:pageBreakBefore w:val="0"/>
              <w:widowControl w:val="0"/>
              <w:kinsoku/>
              <w:wordWrap/>
              <w:overflowPunct/>
              <w:topLinePunct w:val="0"/>
              <w:autoSpaceDE w:val="0"/>
              <w:autoSpaceDN w:val="0"/>
              <w:bidi w:val="0"/>
              <w:adjustRightInd w:val="0"/>
              <w:snapToGrid w:val="0"/>
              <w:spacing w:line="341" w:lineRule="auto"/>
              <w:ind w:firstLine="480" w:firstLineChars="200"/>
              <w:textAlignment w:val="auto"/>
              <w:rPr>
                <w:color w:val="auto"/>
                <w:kern w:val="0"/>
                <w:sz w:val="24"/>
                <w:highlight w:val="none"/>
              </w:rPr>
            </w:pPr>
            <w:r>
              <w:rPr>
                <w:rFonts w:hint="eastAsia"/>
                <w:color w:val="auto"/>
                <w:kern w:val="0"/>
                <w:sz w:val="24"/>
                <w:highlight w:val="none"/>
              </w:rPr>
              <w:t>根据《柳州市生态环境局关于印发实施柳州市生态环境分区管控动态更新成果</w:t>
            </w:r>
            <w:r>
              <w:rPr>
                <w:rFonts w:hint="eastAsia"/>
                <w:color w:val="auto"/>
                <w:kern w:val="0"/>
                <w:sz w:val="24"/>
                <w:highlight w:val="none"/>
                <w:lang w:eastAsia="zh-CN"/>
              </w:rPr>
              <w:t>（</w:t>
            </w:r>
            <w:r>
              <w:rPr>
                <w:rFonts w:hint="eastAsia"/>
                <w:color w:val="auto"/>
                <w:kern w:val="0"/>
                <w:sz w:val="24"/>
                <w:highlight w:val="none"/>
              </w:rPr>
              <w:t>2023年</w:t>
            </w:r>
            <w:r>
              <w:rPr>
                <w:rFonts w:hint="eastAsia"/>
                <w:color w:val="auto"/>
                <w:kern w:val="0"/>
                <w:sz w:val="24"/>
                <w:highlight w:val="none"/>
                <w:lang w:eastAsia="zh-CN"/>
              </w:rPr>
              <w:t>）</w:t>
            </w:r>
            <w:r>
              <w:rPr>
                <w:rFonts w:hint="eastAsia"/>
                <w:color w:val="auto"/>
                <w:kern w:val="0"/>
                <w:sz w:val="24"/>
                <w:highlight w:val="none"/>
              </w:rPr>
              <w:t>的通知》（柳环规〔2024〕</w:t>
            </w:r>
            <w:r>
              <w:rPr>
                <w:rFonts w:hint="eastAsia"/>
                <w:color w:val="auto"/>
                <w:kern w:val="0"/>
                <w:sz w:val="24"/>
                <w:highlight w:val="none"/>
                <w:lang w:val="en-US" w:eastAsia="zh-CN"/>
              </w:rPr>
              <w:t>1</w:t>
            </w:r>
            <w:r>
              <w:rPr>
                <w:rFonts w:hint="eastAsia"/>
                <w:color w:val="auto"/>
                <w:kern w:val="0"/>
                <w:sz w:val="24"/>
                <w:highlight w:val="none"/>
              </w:rPr>
              <w:t>号），</w:t>
            </w:r>
            <w:r>
              <w:rPr>
                <w:color w:val="auto"/>
                <w:sz w:val="24"/>
                <w:highlight w:val="none"/>
              </w:rPr>
              <w:t>本项目</w:t>
            </w:r>
            <w:r>
              <w:rPr>
                <w:rFonts w:hint="eastAsia"/>
                <w:color w:val="auto"/>
                <w:sz w:val="24"/>
                <w:highlight w:val="none"/>
              </w:rPr>
              <w:t>位于柳北区城镇空间重点管控单元</w:t>
            </w:r>
            <w:r>
              <w:rPr>
                <w:rFonts w:hint="eastAsia"/>
                <w:color w:val="auto"/>
                <w:sz w:val="24"/>
                <w:highlight w:val="none"/>
                <w:lang w:eastAsia="zh-CN"/>
              </w:rPr>
              <w:t>（ZH45020520003）</w:t>
            </w:r>
            <w:r>
              <w:rPr>
                <w:color w:val="auto"/>
                <w:kern w:val="0"/>
                <w:sz w:val="24"/>
                <w:highlight w:val="none"/>
              </w:rPr>
              <w:t>。</w:t>
            </w:r>
          </w:p>
          <w:p w14:paraId="6654787D">
            <w:pPr>
              <w:pageBreakBefore w:val="0"/>
              <w:widowControl w:val="0"/>
              <w:kinsoku/>
              <w:wordWrap/>
              <w:overflowPunct/>
              <w:topLinePunct w:val="0"/>
              <w:autoSpaceDE w:val="0"/>
              <w:autoSpaceDN w:val="0"/>
              <w:bidi w:val="0"/>
              <w:adjustRightInd w:val="0"/>
              <w:snapToGrid w:val="0"/>
              <w:spacing w:line="341" w:lineRule="auto"/>
              <w:ind w:firstLine="480" w:firstLineChars="200"/>
              <w:textAlignment w:val="auto"/>
              <w:rPr>
                <w:b/>
                <w:color w:val="auto"/>
                <w:sz w:val="24"/>
                <w:szCs w:val="32"/>
                <w:highlight w:val="none"/>
              </w:rPr>
            </w:pPr>
            <w:r>
              <w:rPr>
                <w:color w:val="auto"/>
                <w:kern w:val="0"/>
                <w:sz w:val="24"/>
                <w:highlight w:val="none"/>
                <w:shd w:val="clear" w:color="auto" w:fill="FFFFFF"/>
              </w:rPr>
              <w:t>本项目</w:t>
            </w:r>
            <w:r>
              <w:rPr>
                <w:rFonts w:hint="eastAsia"/>
                <w:color w:val="auto"/>
                <w:kern w:val="0"/>
                <w:sz w:val="24"/>
                <w:highlight w:val="none"/>
                <w:shd w:val="clear" w:color="auto" w:fill="FFFFFF"/>
                <w:lang w:val="en-US" w:eastAsia="zh-CN"/>
              </w:rPr>
              <w:t>与柳州市柳北区</w:t>
            </w:r>
            <w:r>
              <w:rPr>
                <w:rFonts w:hint="eastAsia"/>
                <w:color w:val="auto"/>
                <w:kern w:val="0"/>
                <w:sz w:val="24"/>
                <w:highlight w:val="none"/>
                <w:shd w:val="clear" w:color="auto" w:fill="FFFFFF"/>
              </w:rPr>
              <w:t>生态环境准入及管控要求</w:t>
            </w:r>
            <w:r>
              <w:rPr>
                <w:rFonts w:hint="eastAsia"/>
                <w:color w:val="auto"/>
                <w:kern w:val="0"/>
                <w:sz w:val="24"/>
                <w:highlight w:val="none"/>
                <w:shd w:val="clear" w:color="auto" w:fill="FFFFFF"/>
                <w:lang w:val="en-US" w:eastAsia="zh-CN"/>
              </w:rPr>
              <w:t>符合性分析</w:t>
            </w:r>
            <w:r>
              <w:rPr>
                <w:color w:val="auto"/>
                <w:kern w:val="0"/>
                <w:sz w:val="24"/>
                <w:highlight w:val="none"/>
                <w:shd w:val="clear" w:color="auto" w:fill="FFFFFF"/>
              </w:rPr>
              <w:t>情况</w:t>
            </w:r>
            <w:r>
              <w:rPr>
                <w:color w:val="auto"/>
                <w:kern w:val="0"/>
                <w:sz w:val="24"/>
                <w:highlight w:val="none"/>
              </w:rPr>
              <w:t>见表1-</w:t>
            </w:r>
            <w:r>
              <w:rPr>
                <w:rFonts w:hint="eastAsia"/>
                <w:color w:val="auto"/>
                <w:kern w:val="0"/>
                <w:sz w:val="24"/>
                <w:highlight w:val="none"/>
                <w:lang w:val="en-US" w:eastAsia="zh-CN"/>
              </w:rPr>
              <w:t>1</w:t>
            </w:r>
            <w:r>
              <w:rPr>
                <w:color w:val="auto"/>
                <w:kern w:val="0"/>
                <w:sz w:val="24"/>
                <w:highlight w:val="none"/>
              </w:rPr>
              <w:t>。</w:t>
            </w:r>
          </w:p>
          <w:p w14:paraId="3A4A39B5">
            <w:pPr>
              <w:jc w:val="center"/>
              <w:rPr>
                <w:b/>
                <w:color w:val="auto"/>
                <w:sz w:val="24"/>
                <w:szCs w:val="32"/>
                <w:highlight w:val="none"/>
              </w:rPr>
            </w:pPr>
            <w:r>
              <w:rPr>
                <w:b/>
                <w:color w:val="auto"/>
                <w:sz w:val="24"/>
                <w:szCs w:val="32"/>
                <w:highlight w:val="none"/>
              </w:rPr>
              <w:t>表1-</w:t>
            </w:r>
            <w:r>
              <w:rPr>
                <w:rFonts w:hint="eastAsia"/>
                <w:b/>
                <w:color w:val="auto"/>
                <w:sz w:val="24"/>
                <w:szCs w:val="32"/>
                <w:highlight w:val="none"/>
                <w:lang w:val="en-US" w:eastAsia="zh-CN"/>
              </w:rPr>
              <w:t>1</w:t>
            </w:r>
            <w:r>
              <w:rPr>
                <w:b/>
                <w:color w:val="auto"/>
                <w:sz w:val="24"/>
                <w:szCs w:val="32"/>
                <w:highlight w:val="none"/>
              </w:rPr>
              <w:t xml:space="preserve">  项目与</w:t>
            </w:r>
            <w:r>
              <w:rPr>
                <w:rFonts w:hint="eastAsia"/>
                <w:b/>
                <w:color w:val="auto"/>
                <w:sz w:val="24"/>
                <w:szCs w:val="32"/>
                <w:highlight w:val="none"/>
                <w:lang w:eastAsia="zh-CN"/>
              </w:rPr>
              <w:t>柳州</w:t>
            </w:r>
            <w:r>
              <w:rPr>
                <w:rFonts w:hint="eastAsia"/>
                <w:b/>
                <w:color w:val="auto"/>
                <w:sz w:val="24"/>
                <w:szCs w:val="32"/>
                <w:highlight w:val="none"/>
              </w:rPr>
              <w:t>市</w:t>
            </w:r>
            <w:r>
              <w:rPr>
                <w:rFonts w:hint="eastAsia"/>
                <w:b/>
                <w:color w:val="auto"/>
                <w:sz w:val="24"/>
                <w:szCs w:val="32"/>
                <w:highlight w:val="none"/>
                <w:lang w:eastAsia="zh-CN"/>
              </w:rPr>
              <w:t>柳北区</w:t>
            </w:r>
            <w:r>
              <w:rPr>
                <w:b/>
                <w:color w:val="auto"/>
                <w:sz w:val="24"/>
                <w:szCs w:val="32"/>
                <w:highlight w:val="none"/>
              </w:rPr>
              <w:t>生态环境准入及管控要求</w:t>
            </w:r>
          </w:p>
          <w:tbl>
            <w:tblPr>
              <w:tblStyle w:val="4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6" w:type="dxa"/>
                <w:bottom w:w="0" w:type="dxa"/>
                <w:right w:w="6" w:type="dxa"/>
              </w:tblCellMar>
            </w:tblPr>
            <w:tblGrid>
              <w:gridCol w:w="919"/>
              <w:gridCol w:w="951"/>
              <w:gridCol w:w="486"/>
              <w:gridCol w:w="440"/>
              <w:gridCol w:w="4049"/>
              <w:gridCol w:w="2037"/>
            </w:tblGrid>
            <w:tr w14:paraId="1B0A3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0" w:hRule="atLeast"/>
              </w:trPr>
              <w:tc>
                <w:tcPr>
                  <w:tcW w:w="517" w:type="pct"/>
                  <w:tcBorders>
                    <w:top w:val="single" w:color="auto" w:sz="4" w:space="0"/>
                    <w:left w:val="single" w:color="auto" w:sz="4" w:space="0"/>
                    <w:bottom w:val="single" w:color="auto" w:sz="4" w:space="0"/>
                    <w:right w:val="single" w:color="auto" w:sz="4" w:space="0"/>
                  </w:tcBorders>
                  <w:noWrap w:val="0"/>
                  <w:vAlign w:val="center"/>
                </w:tcPr>
                <w:p w14:paraId="04F8F3F3">
                  <w:pPr>
                    <w:autoSpaceDE w:val="0"/>
                    <w:autoSpaceDN w:val="0"/>
                    <w:snapToGrid w:val="0"/>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环境管控单元编码</w:t>
                  </w:r>
                </w:p>
              </w:tc>
              <w:tc>
                <w:tcPr>
                  <w:tcW w:w="535" w:type="pct"/>
                  <w:tcBorders>
                    <w:top w:val="single" w:color="auto" w:sz="4" w:space="0"/>
                    <w:left w:val="single" w:color="auto" w:sz="4" w:space="0"/>
                    <w:bottom w:val="single" w:color="auto" w:sz="4" w:space="0"/>
                    <w:right w:val="single" w:color="auto" w:sz="4" w:space="0"/>
                  </w:tcBorders>
                  <w:noWrap w:val="0"/>
                  <w:vAlign w:val="center"/>
                </w:tcPr>
                <w:p w14:paraId="37071861">
                  <w:pPr>
                    <w:autoSpaceDE w:val="0"/>
                    <w:autoSpaceDN w:val="0"/>
                    <w:snapToGrid w:val="0"/>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环境管控单元名称</w:t>
                  </w:r>
                </w:p>
              </w:tc>
              <w:tc>
                <w:tcPr>
                  <w:tcW w:w="273" w:type="pct"/>
                  <w:tcBorders>
                    <w:top w:val="single" w:color="auto" w:sz="4" w:space="0"/>
                    <w:left w:val="single" w:color="auto" w:sz="4" w:space="0"/>
                    <w:bottom w:val="single" w:color="auto" w:sz="4" w:space="0"/>
                    <w:right w:val="single" w:color="auto" w:sz="4" w:space="0"/>
                  </w:tcBorders>
                  <w:noWrap w:val="0"/>
                  <w:vAlign w:val="center"/>
                </w:tcPr>
                <w:p w14:paraId="10984195">
                  <w:pPr>
                    <w:autoSpaceDE w:val="0"/>
                    <w:autoSpaceDN w:val="0"/>
                    <w:snapToGrid w:val="0"/>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管控单元类别</w:t>
                  </w:r>
                </w:p>
              </w:tc>
              <w:tc>
                <w:tcPr>
                  <w:tcW w:w="2527" w:type="pct"/>
                  <w:gridSpan w:val="2"/>
                  <w:tcBorders>
                    <w:top w:val="single" w:color="auto" w:sz="4" w:space="0"/>
                    <w:left w:val="single" w:color="auto" w:sz="4" w:space="0"/>
                    <w:bottom w:val="single" w:color="auto" w:sz="4" w:space="0"/>
                    <w:right w:val="single" w:color="auto" w:sz="4" w:space="0"/>
                  </w:tcBorders>
                  <w:noWrap w:val="0"/>
                  <w:vAlign w:val="center"/>
                </w:tcPr>
                <w:p w14:paraId="79BB262A">
                  <w:pPr>
                    <w:autoSpaceDE w:val="0"/>
                    <w:autoSpaceDN w:val="0"/>
                    <w:snapToGrid w:val="0"/>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生态环境准入及管控要求</w:t>
                  </w:r>
                </w:p>
              </w:tc>
              <w:tc>
                <w:tcPr>
                  <w:tcW w:w="1146" w:type="pct"/>
                  <w:tcBorders>
                    <w:top w:val="single" w:color="auto" w:sz="4" w:space="0"/>
                    <w:left w:val="single" w:color="auto" w:sz="4" w:space="0"/>
                    <w:bottom w:val="single" w:color="auto" w:sz="4" w:space="0"/>
                    <w:right w:val="single" w:color="auto" w:sz="4" w:space="0"/>
                  </w:tcBorders>
                  <w:noWrap w:val="0"/>
                  <w:vAlign w:val="center"/>
                </w:tcPr>
                <w:p w14:paraId="6625C484">
                  <w:pPr>
                    <w:autoSpaceDE w:val="0"/>
                    <w:autoSpaceDN w:val="0"/>
                    <w:snapToGrid w:val="0"/>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相符性</w:t>
                  </w:r>
                </w:p>
                <w:p w14:paraId="5829D968">
                  <w:pPr>
                    <w:autoSpaceDE w:val="0"/>
                    <w:autoSpaceDN w:val="0"/>
                    <w:snapToGrid w:val="0"/>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分析</w:t>
                  </w:r>
                </w:p>
              </w:tc>
            </w:tr>
            <w:tr w14:paraId="4623C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99" w:hRule="atLeast"/>
              </w:trPr>
              <w:tc>
                <w:tcPr>
                  <w:tcW w:w="517" w:type="pct"/>
                  <w:vMerge w:val="restart"/>
                  <w:tcBorders>
                    <w:top w:val="single" w:color="auto" w:sz="4" w:space="0"/>
                    <w:left w:val="single" w:color="auto" w:sz="4" w:space="0"/>
                    <w:right w:val="single" w:color="auto" w:sz="4" w:space="0"/>
                  </w:tcBorders>
                  <w:noWrap w:val="0"/>
                  <w:vAlign w:val="center"/>
                </w:tcPr>
                <w:p w14:paraId="2933A489">
                  <w:pPr>
                    <w:autoSpaceDE w:val="0"/>
                    <w:autoSpaceDN w:val="0"/>
                    <w:snapToGrid w:val="0"/>
                    <w:spacing w:line="0" w:lineRule="atLeast"/>
                    <w:jc w:val="center"/>
                    <w:rPr>
                      <w:rFonts w:hint="default" w:ascii="Times New Roman" w:hAnsi="Times New Roman" w:cs="Times New Roman"/>
                      <w:color w:val="auto"/>
                      <w:kern w:val="2"/>
                      <w:sz w:val="21"/>
                      <w:szCs w:val="21"/>
                      <w:highlight w:val="none"/>
                      <w:lang w:val="en-US" w:eastAsia="zh-CN" w:bidi="ar-SA"/>
                    </w:rPr>
                  </w:pPr>
                  <w:r>
                    <w:rPr>
                      <w:rFonts w:hint="eastAsia"/>
                      <w:color w:val="auto"/>
                      <w:sz w:val="21"/>
                      <w:szCs w:val="21"/>
                      <w:highlight w:val="none"/>
                      <w:lang w:eastAsia="zh-CN"/>
                    </w:rPr>
                    <w:t>ZH45020520003</w:t>
                  </w:r>
                </w:p>
              </w:tc>
              <w:tc>
                <w:tcPr>
                  <w:tcW w:w="535" w:type="pct"/>
                  <w:vMerge w:val="restart"/>
                  <w:tcBorders>
                    <w:top w:val="single" w:color="auto" w:sz="4" w:space="0"/>
                    <w:left w:val="single" w:color="auto" w:sz="4" w:space="0"/>
                    <w:right w:val="single" w:color="auto" w:sz="4" w:space="0"/>
                  </w:tcBorders>
                  <w:noWrap w:val="0"/>
                  <w:vAlign w:val="center"/>
                </w:tcPr>
                <w:p w14:paraId="04B7F4DB">
                  <w:pPr>
                    <w:autoSpaceDE w:val="0"/>
                    <w:autoSpaceDN w:val="0"/>
                    <w:snapToGrid w:val="0"/>
                    <w:spacing w:line="0" w:lineRule="atLeast"/>
                    <w:jc w:val="center"/>
                    <w:rPr>
                      <w:rFonts w:hint="default" w:ascii="Times New Roman" w:hAnsi="Times New Roman" w:cs="Times New Roman"/>
                      <w:color w:val="auto"/>
                      <w:kern w:val="2"/>
                      <w:sz w:val="21"/>
                      <w:szCs w:val="21"/>
                      <w:highlight w:val="none"/>
                      <w:lang w:val="en-US" w:eastAsia="zh-CN" w:bidi="ar-SA"/>
                    </w:rPr>
                  </w:pPr>
                  <w:r>
                    <w:rPr>
                      <w:rFonts w:hint="eastAsia"/>
                      <w:color w:val="auto"/>
                      <w:sz w:val="21"/>
                      <w:szCs w:val="21"/>
                      <w:highlight w:val="none"/>
                    </w:rPr>
                    <w:t>柳北区城镇空间重点管控单元</w:t>
                  </w:r>
                </w:p>
              </w:tc>
              <w:tc>
                <w:tcPr>
                  <w:tcW w:w="273" w:type="pct"/>
                  <w:vMerge w:val="restart"/>
                  <w:tcBorders>
                    <w:top w:val="single" w:color="auto" w:sz="4" w:space="0"/>
                    <w:left w:val="single" w:color="auto" w:sz="4" w:space="0"/>
                    <w:right w:val="single" w:color="auto" w:sz="4" w:space="0"/>
                  </w:tcBorders>
                  <w:noWrap w:val="0"/>
                  <w:vAlign w:val="center"/>
                </w:tcPr>
                <w:p w14:paraId="50FD712E">
                  <w:pPr>
                    <w:keepNext w:val="0"/>
                    <w:keepLines w:val="0"/>
                    <w:widowControl/>
                    <w:suppressLineNumbers w:val="0"/>
                    <w:jc w:val="left"/>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重点管控单元</w:t>
                  </w:r>
                </w:p>
              </w:tc>
              <w:tc>
                <w:tcPr>
                  <w:tcW w:w="247" w:type="pct"/>
                  <w:vMerge w:val="restart"/>
                  <w:tcBorders>
                    <w:top w:val="single" w:color="auto" w:sz="4" w:space="0"/>
                    <w:left w:val="single" w:color="auto" w:sz="4" w:space="0"/>
                    <w:right w:val="single" w:color="auto" w:sz="4" w:space="0"/>
                  </w:tcBorders>
                  <w:noWrap w:val="0"/>
                  <w:vAlign w:val="center"/>
                </w:tcPr>
                <w:p w14:paraId="20C8A49A">
                  <w:pPr>
                    <w:keepNext w:val="0"/>
                    <w:keepLines w:val="0"/>
                    <w:widowControl/>
                    <w:suppressLineNumbers w:val="0"/>
                    <w:jc w:val="left"/>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空间布局约束</w:t>
                  </w:r>
                </w:p>
              </w:tc>
              <w:tc>
                <w:tcPr>
                  <w:tcW w:w="2279" w:type="pct"/>
                  <w:tcBorders>
                    <w:top w:val="single" w:color="auto" w:sz="4" w:space="0"/>
                    <w:left w:val="single" w:color="auto" w:sz="4" w:space="0"/>
                    <w:bottom w:val="single" w:color="auto" w:sz="4" w:space="0"/>
                    <w:right w:val="single" w:color="auto" w:sz="4" w:space="0"/>
                  </w:tcBorders>
                  <w:noWrap w:val="0"/>
                  <w:vAlign w:val="center"/>
                </w:tcPr>
                <w:p w14:paraId="6D7EE45D">
                  <w:pPr>
                    <w:autoSpaceDE w:val="0"/>
                    <w:autoSpaceDN w:val="0"/>
                    <w:snapToGrid w:val="0"/>
                    <w:spacing w:line="0" w:lineRule="atLeast"/>
                    <w:jc w:val="left"/>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w:t>
                  </w:r>
                  <w:r>
                    <w:rPr>
                      <w:rFonts w:hint="default" w:ascii="Times New Roman" w:hAnsi="Times New Roman" w:eastAsia="宋体" w:cs="Times New Roman"/>
                      <w:color w:val="auto"/>
                      <w:kern w:val="2"/>
                      <w:sz w:val="21"/>
                      <w:szCs w:val="21"/>
                      <w:highlight w:val="none"/>
                      <w:lang w:val="en-US" w:eastAsia="zh-CN" w:bidi="ar-SA"/>
                    </w:rPr>
                    <w:t>城市建成区内禁止新建、扩建钢铁、石油、化工、有色金属、水泥、平板玻璃、建筑陶瓷、砖瓦等高排放、高污染项目，已建成企业应当逐步进行搬迁、改造或者转型、退出。</w:t>
                  </w:r>
                </w:p>
              </w:tc>
              <w:tc>
                <w:tcPr>
                  <w:tcW w:w="1146" w:type="pct"/>
                  <w:tcBorders>
                    <w:top w:val="single" w:color="auto" w:sz="4" w:space="0"/>
                    <w:left w:val="single" w:color="auto" w:sz="4" w:space="0"/>
                    <w:right w:val="single" w:color="auto" w:sz="4" w:space="0"/>
                  </w:tcBorders>
                  <w:noWrap w:val="0"/>
                  <w:vAlign w:val="center"/>
                </w:tcPr>
                <w:p w14:paraId="3DC8FD9C">
                  <w:pPr>
                    <w:autoSpaceDE w:val="0"/>
                    <w:autoSpaceDN w:val="0"/>
                    <w:snapToGrid w:val="0"/>
                    <w:spacing w:line="0" w:lineRule="atLeast"/>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符</w:t>
                  </w:r>
                  <w:r>
                    <w:rPr>
                      <w:rFonts w:hint="default" w:ascii="Times New Roman" w:hAnsi="Times New Roman" w:eastAsia="宋体" w:cs="Times New Roman"/>
                      <w:color w:val="auto"/>
                      <w:kern w:val="2"/>
                      <w:sz w:val="21"/>
                      <w:szCs w:val="21"/>
                      <w:highlight w:val="none"/>
                      <w:lang w:val="en-US" w:eastAsia="zh-CN" w:bidi="ar-SA"/>
                    </w:rPr>
                    <w:t>合。本项目</w:t>
                  </w:r>
                  <w:r>
                    <w:rPr>
                      <w:rFonts w:hint="eastAsia" w:cs="Times New Roman"/>
                      <w:color w:val="auto"/>
                      <w:kern w:val="2"/>
                      <w:sz w:val="21"/>
                      <w:szCs w:val="21"/>
                      <w:highlight w:val="none"/>
                      <w:lang w:val="en-US" w:eastAsia="zh-CN" w:bidi="ar-SA"/>
                    </w:rPr>
                    <w:t>为</w:t>
                  </w:r>
                  <w:r>
                    <w:rPr>
                      <w:rFonts w:hint="default" w:ascii="Times New Roman" w:hAnsi="Times New Roman" w:eastAsia="宋体" w:cs="Times New Roman"/>
                      <w:color w:val="auto"/>
                      <w:kern w:val="2"/>
                      <w:sz w:val="21"/>
                      <w:szCs w:val="21"/>
                      <w:highlight w:val="none"/>
                      <w:lang w:val="en-US" w:eastAsia="zh-CN" w:bidi="ar-SA"/>
                    </w:rPr>
                    <w:t>输变电项目，</w:t>
                  </w:r>
                  <w:r>
                    <w:rPr>
                      <w:rFonts w:hint="eastAsia" w:cs="Times New Roman"/>
                      <w:color w:val="auto"/>
                      <w:kern w:val="2"/>
                      <w:sz w:val="21"/>
                      <w:szCs w:val="21"/>
                      <w:highlight w:val="none"/>
                      <w:lang w:val="en-US" w:eastAsia="zh-CN" w:bidi="ar-SA"/>
                    </w:rPr>
                    <w:t>不属于</w:t>
                  </w:r>
                  <w:r>
                    <w:rPr>
                      <w:rFonts w:hint="default" w:ascii="Times New Roman" w:hAnsi="Times New Roman" w:eastAsia="宋体" w:cs="Times New Roman"/>
                      <w:color w:val="auto"/>
                      <w:kern w:val="2"/>
                      <w:sz w:val="21"/>
                      <w:szCs w:val="21"/>
                      <w:highlight w:val="none"/>
                      <w:lang w:val="en-US" w:eastAsia="zh-CN" w:bidi="ar-SA"/>
                    </w:rPr>
                    <w:t>高排放、高污染项目</w:t>
                  </w:r>
                  <w:r>
                    <w:rPr>
                      <w:rFonts w:hint="default" w:ascii="Times New Roman" w:hAnsi="Times New Roman" w:cs="Times New Roman"/>
                      <w:color w:val="auto"/>
                      <w:kern w:val="2"/>
                      <w:sz w:val="21"/>
                      <w:szCs w:val="21"/>
                      <w:highlight w:val="none"/>
                      <w:lang w:val="en-US" w:eastAsia="zh-CN" w:bidi="ar-SA"/>
                    </w:rPr>
                    <w:t>。</w:t>
                  </w:r>
                </w:p>
              </w:tc>
            </w:tr>
            <w:tr w14:paraId="0B304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99" w:hRule="atLeast"/>
              </w:trPr>
              <w:tc>
                <w:tcPr>
                  <w:tcW w:w="517" w:type="pct"/>
                  <w:vMerge w:val="continue"/>
                  <w:tcBorders>
                    <w:left w:val="single" w:color="auto" w:sz="4" w:space="0"/>
                    <w:right w:val="single" w:color="auto" w:sz="4" w:space="0"/>
                  </w:tcBorders>
                  <w:noWrap w:val="0"/>
                  <w:vAlign w:val="center"/>
                </w:tcPr>
                <w:p w14:paraId="1095B40C">
                  <w:pPr>
                    <w:autoSpaceDE w:val="0"/>
                    <w:autoSpaceDN w:val="0"/>
                    <w:snapToGrid w:val="0"/>
                    <w:spacing w:line="0" w:lineRule="atLeast"/>
                    <w:jc w:val="center"/>
                    <w:rPr>
                      <w:rFonts w:hint="default" w:ascii="Times New Roman" w:hAnsi="Times New Roman" w:cs="Times New Roman"/>
                      <w:color w:val="auto"/>
                      <w:kern w:val="2"/>
                      <w:sz w:val="21"/>
                      <w:szCs w:val="21"/>
                      <w:highlight w:val="none"/>
                      <w:lang w:val="en-US" w:eastAsia="zh-CN" w:bidi="ar-SA"/>
                    </w:rPr>
                  </w:pPr>
                </w:p>
              </w:tc>
              <w:tc>
                <w:tcPr>
                  <w:tcW w:w="535" w:type="pct"/>
                  <w:vMerge w:val="continue"/>
                  <w:tcBorders>
                    <w:left w:val="single" w:color="auto" w:sz="4" w:space="0"/>
                    <w:right w:val="single" w:color="auto" w:sz="4" w:space="0"/>
                  </w:tcBorders>
                  <w:noWrap w:val="0"/>
                  <w:vAlign w:val="center"/>
                </w:tcPr>
                <w:p w14:paraId="3B6FEDF6">
                  <w:pPr>
                    <w:autoSpaceDE w:val="0"/>
                    <w:autoSpaceDN w:val="0"/>
                    <w:snapToGrid w:val="0"/>
                    <w:spacing w:line="0" w:lineRule="atLeast"/>
                    <w:jc w:val="center"/>
                    <w:rPr>
                      <w:rFonts w:hint="default" w:ascii="Times New Roman" w:hAnsi="Times New Roman" w:cs="Times New Roman"/>
                      <w:color w:val="auto"/>
                      <w:kern w:val="2"/>
                      <w:sz w:val="21"/>
                      <w:szCs w:val="21"/>
                      <w:highlight w:val="none"/>
                      <w:lang w:val="en-US" w:eastAsia="zh-CN" w:bidi="ar-SA"/>
                    </w:rPr>
                  </w:pPr>
                </w:p>
              </w:tc>
              <w:tc>
                <w:tcPr>
                  <w:tcW w:w="273" w:type="pct"/>
                  <w:vMerge w:val="continue"/>
                  <w:tcBorders>
                    <w:left w:val="single" w:color="auto" w:sz="4" w:space="0"/>
                    <w:right w:val="single" w:color="auto" w:sz="4" w:space="0"/>
                  </w:tcBorders>
                  <w:noWrap w:val="0"/>
                  <w:vAlign w:val="center"/>
                </w:tcPr>
                <w:p w14:paraId="38C6DCD0">
                  <w:pPr>
                    <w:keepNext w:val="0"/>
                    <w:keepLines w:val="0"/>
                    <w:widowControl/>
                    <w:suppressLineNumbers w:val="0"/>
                    <w:jc w:val="left"/>
                    <w:rPr>
                      <w:rFonts w:hint="default" w:ascii="Times New Roman" w:hAnsi="Times New Roman" w:eastAsia="宋体" w:cs="Times New Roman"/>
                      <w:color w:val="auto"/>
                      <w:kern w:val="0"/>
                      <w:sz w:val="21"/>
                      <w:szCs w:val="21"/>
                      <w:highlight w:val="none"/>
                      <w:lang w:val="en-US" w:eastAsia="zh-CN" w:bidi="ar"/>
                    </w:rPr>
                  </w:pPr>
                </w:p>
              </w:tc>
              <w:tc>
                <w:tcPr>
                  <w:tcW w:w="247" w:type="pct"/>
                  <w:vMerge w:val="continue"/>
                  <w:tcBorders>
                    <w:left w:val="single" w:color="auto" w:sz="4" w:space="0"/>
                    <w:right w:val="single" w:color="auto" w:sz="4" w:space="0"/>
                  </w:tcBorders>
                  <w:noWrap w:val="0"/>
                  <w:vAlign w:val="center"/>
                </w:tcPr>
                <w:p w14:paraId="312C1FDB">
                  <w:pPr>
                    <w:keepNext w:val="0"/>
                    <w:keepLines w:val="0"/>
                    <w:widowControl/>
                    <w:suppressLineNumbers w:val="0"/>
                    <w:jc w:val="left"/>
                    <w:rPr>
                      <w:rFonts w:hint="default" w:ascii="Times New Roman" w:hAnsi="Times New Roman" w:eastAsia="宋体" w:cs="Times New Roman"/>
                      <w:color w:val="auto"/>
                      <w:kern w:val="0"/>
                      <w:sz w:val="21"/>
                      <w:szCs w:val="21"/>
                      <w:highlight w:val="none"/>
                      <w:lang w:val="en-US" w:eastAsia="zh-CN" w:bidi="ar"/>
                    </w:rPr>
                  </w:pPr>
                </w:p>
              </w:tc>
              <w:tc>
                <w:tcPr>
                  <w:tcW w:w="2279" w:type="pct"/>
                  <w:tcBorders>
                    <w:top w:val="single" w:color="auto" w:sz="4" w:space="0"/>
                    <w:left w:val="single" w:color="auto" w:sz="4" w:space="0"/>
                    <w:bottom w:val="single" w:color="auto" w:sz="4" w:space="0"/>
                    <w:right w:val="single" w:color="auto" w:sz="4" w:space="0"/>
                  </w:tcBorders>
                  <w:noWrap w:val="0"/>
                  <w:vAlign w:val="center"/>
                </w:tcPr>
                <w:p w14:paraId="13B88608">
                  <w:pPr>
                    <w:autoSpaceDE w:val="0"/>
                    <w:autoSpaceDN w:val="0"/>
                    <w:snapToGrid w:val="0"/>
                    <w:spacing w:line="0" w:lineRule="atLeast"/>
                    <w:jc w:val="left"/>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w:t>
                  </w:r>
                  <w:r>
                    <w:rPr>
                      <w:rFonts w:hint="default" w:ascii="Times New Roman" w:hAnsi="Times New Roman" w:eastAsia="宋体" w:cs="Times New Roman"/>
                      <w:color w:val="auto"/>
                      <w:kern w:val="2"/>
                      <w:sz w:val="21"/>
                      <w:szCs w:val="21"/>
                      <w:highlight w:val="none"/>
                      <w:lang w:val="en-US" w:eastAsia="zh-CN" w:bidi="ar-SA"/>
                    </w:rPr>
                    <w:t>城镇居民区、村庄居民区、文教科研区、医疗区等人口集中区域禁止建设养殖场。在禁止建设区域附近建设的，应按相关规定设置合理的防护距离。</w:t>
                  </w:r>
                </w:p>
              </w:tc>
              <w:tc>
                <w:tcPr>
                  <w:tcW w:w="1146" w:type="pct"/>
                  <w:tcBorders>
                    <w:top w:val="single" w:color="auto" w:sz="4" w:space="0"/>
                    <w:left w:val="single" w:color="auto" w:sz="4" w:space="0"/>
                    <w:right w:val="single" w:color="auto" w:sz="4" w:space="0"/>
                  </w:tcBorders>
                  <w:noWrap w:val="0"/>
                  <w:vAlign w:val="center"/>
                </w:tcPr>
                <w:p w14:paraId="4F8029DA">
                  <w:pPr>
                    <w:autoSpaceDE w:val="0"/>
                    <w:autoSpaceDN w:val="0"/>
                    <w:snapToGrid w:val="0"/>
                    <w:spacing w:line="0" w:lineRule="atLeast"/>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符</w:t>
                  </w:r>
                  <w:r>
                    <w:rPr>
                      <w:rFonts w:hint="default" w:ascii="Times New Roman" w:hAnsi="Times New Roman" w:eastAsia="宋体" w:cs="Times New Roman"/>
                      <w:color w:val="auto"/>
                      <w:kern w:val="2"/>
                      <w:sz w:val="21"/>
                      <w:szCs w:val="21"/>
                      <w:highlight w:val="none"/>
                      <w:lang w:val="en-US" w:eastAsia="zh-CN" w:bidi="ar-SA"/>
                    </w:rPr>
                    <w:t>合。本项目</w:t>
                  </w:r>
                  <w:r>
                    <w:rPr>
                      <w:rFonts w:hint="eastAsia" w:cs="Times New Roman"/>
                      <w:color w:val="auto"/>
                      <w:kern w:val="2"/>
                      <w:sz w:val="21"/>
                      <w:szCs w:val="21"/>
                      <w:highlight w:val="none"/>
                      <w:lang w:val="en-US" w:eastAsia="zh-CN" w:bidi="ar-SA"/>
                    </w:rPr>
                    <w:t>为</w:t>
                  </w:r>
                  <w:r>
                    <w:rPr>
                      <w:rFonts w:hint="default" w:ascii="Times New Roman" w:hAnsi="Times New Roman" w:eastAsia="宋体" w:cs="Times New Roman"/>
                      <w:color w:val="auto"/>
                      <w:kern w:val="2"/>
                      <w:sz w:val="21"/>
                      <w:szCs w:val="21"/>
                      <w:highlight w:val="none"/>
                      <w:lang w:val="en-US" w:eastAsia="zh-CN" w:bidi="ar-SA"/>
                    </w:rPr>
                    <w:t>输变电项目，</w:t>
                  </w:r>
                  <w:r>
                    <w:rPr>
                      <w:rFonts w:hint="eastAsia" w:cs="Times New Roman"/>
                      <w:color w:val="auto"/>
                      <w:kern w:val="2"/>
                      <w:sz w:val="21"/>
                      <w:szCs w:val="21"/>
                      <w:highlight w:val="none"/>
                      <w:lang w:val="en-US" w:eastAsia="zh-CN" w:bidi="ar-SA"/>
                    </w:rPr>
                    <w:t>不属于</w:t>
                  </w:r>
                  <w:r>
                    <w:rPr>
                      <w:rFonts w:hint="default" w:ascii="Times New Roman" w:hAnsi="Times New Roman" w:eastAsia="宋体" w:cs="Times New Roman"/>
                      <w:color w:val="auto"/>
                      <w:kern w:val="2"/>
                      <w:sz w:val="21"/>
                      <w:szCs w:val="21"/>
                      <w:highlight w:val="none"/>
                      <w:lang w:val="en-US" w:eastAsia="zh-CN" w:bidi="ar-SA"/>
                    </w:rPr>
                    <w:t>养殖场</w:t>
                  </w:r>
                  <w:r>
                    <w:rPr>
                      <w:rFonts w:hint="eastAsia" w:ascii="Times New Roman" w:hAnsi="Times New Roman" w:eastAsia="宋体" w:cs="Times New Roman"/>
                      <w:color w:val="auto"/>
                      <w:kern w:val="2"/>
                      <w:sz w:val="21"/>
                      <w:szCs w:val="21"/>
                      <w:highlight w:val="none"/>
                      <w:lang w:val="en-US" w:eastAsia="zh-CN" w:bidi="ar-SA"/>
                    </w:rPr>
                    <w:t>项目</w:t>
                  </w:r>
                  <w:r>
                    <w:rPr>
                      <w:rFonts w:hint="default" w:ascii="Times New Roman" w:hAnsi="Times New Roman" w:cs="Times New Roman"/>
                      <w:color w:val="auto"/>
                      <w:kern w:val="2"/>
                      <w:sz w:val="21"/>
                      <w:szCs w:val="21"/>
                      <w:highlight w:val="none"/>
                      <w:lang w:val="en-US" w:eastAsia="zh-CN" w:bidi="ar-SA"/>
                    </w:rPr>
                    <w:t>。</w:t>
                  </w:r>
                </w:p>
              </w:tc>
            </w:tr>
          </w:tbl>
          <w:p w14:paraId="6ADC838E">
            <w:pPr>
              <w:pageBreakBefore w:val="0"/>
              <w:widowControl w:val="0"/>
              <w:kinsoku/>
              <w:wordWrap/>
              <w:overflowPunct/>
              <w:topLinePunct w:val="0"/>
              <w:bidi w:val="0"/>
              <w:spacing w:line="360" w:lineRule="auto"/>
              <w:ind w:firstLine="480" w:firstLineChars="200"/>
              <w:textAlignment w:val="auto"/>
              <w:rPr>
                <w:color w:val="auto"/>
                <w:sz w:val="24"/>
                <w:highlight w:val="none"/>
              </w:rPr>
            </w:pPr>
            <w:r>
              <w:rPr>
                <w:rFonts w:hint="eastAsia"/>
                <w:color w:val="auto"/>
                <w:sz w:val="24"/>
                <w:highlight w:val="none"/>
              </w:rPr>
              <w:t>综上分析，对照《柳州市生态环境局关于印发实施柳州市生态环境分区管控动态更新成果（2023年）的通知》（柳环规〔2024〕1号）中柳州市生态环境准入及管控要求，本项目符合柳州市生态环境准入及管控要求。</w:t>
            </w:r>
            <w:r>
              <w:rPr>
                <w:color w:val="auto"/>
                <w:sz w:val="24"/>
                <w:highlight w:val="none"/>
              </w:rPr>
              <w:t>。</w:t>
            </w:r>
          </w:p>
          <w:p w14:paraId="31F8B4C5">
            <w:pPr>
              <w:pageBreakBefore w:val="0"/>
              <w:widowControl w:val="0"/>
              <w:kinsoku/>
              <w:wordWrap/>
              <w:overflowPunct/>
              <w:topLinePunct w:val="0"/>
              <w:autoSpaceDN w:val="0"/>
              <w:bidi w:val="0"/>
              <w:adjustRightInd w:val="0"/>
              <w:snapToGrid w:val="0"/>
              <w:spacing w:line="360" w:lineRule="auto"/>
              <w:textAlignment w:val="auto"/>
              <w:rPr>
                <w:b/>
                <w:color w:val="auto"/>
                <w:kern w:val="0"/>
                <w:sz w:val="24"/>
                <w:highlight w:val="none"/>
              </w:rPr>
            </w:pPr>
            <w:r>
              <w:rPr>
                <w:rFonts w:hint="eastAsia"/>
                <w:b/>
                <w:color w:val="auto"/>
                <w:kern w:val="0"/>
                <w:sz w:val="24"/>
                <w:highlight w:val="none"/>
              </w:rPr>
              <w:t>2.</w:t>
            </w:r>
            <w:r>
              <w:rPr>
                <w:rFonts w:hint="eastAsia"/>
                <w:color w:val="auto"/>
                <w:highlight w:val="none"/>
              </w:rPr>
              <w:t xml:space="preserve"> </w:t>
            </w:r>
            <w:r>
              <w:rPr>
                <w:rFonts w:hint="eastAsia"/>
                <w:b/>
                <w:color w:val="auto"/>
                <w:kern w:val="0"/>
                <w:sz w:val="24"/>
                <w:highlight w:val="none"/>
              </w:rPr>
              <w:t>项目与相关生态环境保护法律法规政策的符合性</w:t>
            </w:r>
          </w:p>
          <w:p w14:paraId="7279C946">
            <w:pPr>
              <w:keepNext/>
              <w:keepLines/>
              <w:pageBreakBefore w:val="0"/>
              <w:widowControl w:val="0"/>
              <w:tabs>
                <w:tab w:val="left" w:pos="420"/>
                <w:tab w:val="left" w:pos="567"/>
              </w:tabs>
              <w:kinsoku/>
              <w:wordWrap/>
              <w:overflowPunct/>
              <w:topLinePunct w:val="0"/>
              <w:autoSpaceDE/>
              <w:autoSpaceDN/>
              <w:bidi w:val="0"/>
              <w:adjustRightInd/>
              <w:snapToGrid/>
              <w:spacing w:line="360" w:lineRule="auto"/>
              <w:jc w:val="left"/>
              <w:textAlignment w:val="auto"/>
              <w:outlineLvl w:val="1"/>
              <w:rPr>
                <w:b/>
                <w:bCs/>
                <w:color w:val="auto"/>
                <w:sz w:val="24"/>
                <w:highlight w:val="none"/>
              </w:rPr>
            </w:pPr>
            <w:bookmarkStart w:id="11" w:name="_Toc128402613"/>
            <w:r>
              <w:rPr>
                <w:rFonts w:hint="eastAsia"/>
                <w:b/>
                <w:bCs/>
                <w:color w:val="auto"/>
                <w:sz w:val="24"/>
                <w:highlight w:val="none"/>
              </w:rPr>
              <w:t>2</w:t>
            </w:r>
            <w:r>
              <w:rPr>
                <w:b/>
                <w:bCs/>
                <w:color w:val="auto"/>
                <w:sz w:val="24"/>
                <w:highlight w:val="none"/>
              </w:rPr>
              <w:t>.</w:t>
            </w:r>
            <w:r>
              <w:rPr>
                <w:rFonts w:hint="eastAsia"/>
                <w:b/>
                <w:bCs/>
                <w:color w:val="auto"/>
                <w:sz w:val="24"/>
                <w:highlight w:val="none"/>
                <w:lang w:val="en-US" w:eastAsia="zh-CN"/>
              </w:rPr>
              <w:t>1</w:t>
            </w:r>
            <w:r>
              <w:rPr>
                <w:rFonts w:hint="eastAsia"/>
                <w:b/>
                <w:bCs/>
                <w:color w:val="auto"/>
                <w:sz w:val="24"/>
                <w:highlight w:val="none"/>
              </w:rPr>
              <w:t>项目与其他相关生态环境保护法律法规政策的符合性</w:t>
            </w:r>
            <w:bookmarkEnd w:id="11"/>
          </w:p>
          <w:p w14:paraId="452B7B5D">
            <w:pPr>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eastAsia="宋体"/>
                <w:color w:val="auto"/>
                <w:kern w:val="0"/>
                <w:sz w:val="24"/>
                <w:highlight w:val="none"/>
                <w:shd w:val="clear" w:color="auto" w:fill="FFFFFF"/>
                <w:lang w:val="en-US" w:eastAsia="zh-CN"/>
              </w:rPr>
            </w:pPr>
            <w:r>
              <w:rPr>
                <w:color w:val="auto"/>
                <w:kern w:val="0"/>
                <w:sz w:val="24"/>
                <w:highlight w:val="none"/>
                <w:shd w:val="clear" w:color="auto" w:fill="FFFFFF"/>
              </w:rPr>
              <w:t>本项目为电力基础建设项目，不属于高耗能、高排放、高污染项目和重点行业建设项目。</w:t>
            </w:r>
            <w:r>
              <w:rPr>
                <w:rFonts w:hint="eastAsia"/>
                <w:color w:val="auto"/>
                <w:kern w:val="0"/>
                <w:sz w:val="24"/>
                <w:highlight w:val="none"/>
                <w:shd w:val="clear" w:color="auto" w:fill="FFFFFF"/>
              </w:rPr>
              <w:t>项目不涉及国家公园、自然保护区、风景名胜区、世界文化和自然遗产地、海洋特别保护区、饮用水水源保护区、柳州市生态保护红线</w:t>
            </w:r>
            <w:r>
              <w:rPr>
                <w:color w:val="auto"/>
                <w:kern w:val="0"/>
                <w:sz w:val="24"/>
                <w:highlight w:val="none"/>
                <w:shd w:val="clear" w:color="auto" w:fill="FFFFFF"/>
              </w:rPr>
              <w:t>等环境敏感区</w:t>
            </w:r>
            <w:r>
              <w:rPr>
                <w:color w:val="auto"/>
                <w:kern w:val="0"/>
                <w:sz w:val="24"/>
                <w:highlight w:val="none"/>
              </w:rPr>
              <w:t>。</w:t>
            </w:r>
          </w:p>
          <w:p w14:paraId="30287F38">
            <w:pPr>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color w:val="auto"/>
                <w:kern w:val="0"/>
                <w:sz w:val="24"/>
                <w:highlight w:val="none"/>
              </w:rPr>
            </w:pPr>
            <w:r>
              <w:rPr>
                <w:color w:val="auto"/>
                <w:kern w:val="0"/>
                <w:sz w:val="24"/>
                <w:highlight w:val="none"/>
              </w:rPr>
              <w:t>因此，本项目的建设与相关生态环境保护法律法规、政策是相符的。</w:t>
            </w:r>
          </w:p>
          <w:p w14:paraId="056B30DE">
            <w:pPr>
              <w:pageBreakBefore w:val="0"/>
              <w:widowControl w:val="0"/>
              <w:kinsoku/>
              <w:wordWrap/>
              <w:overflowPunct/>
              <w:topLinePunct w:val="0"/>
              <w:autoSpaceDE w:val="0"/>
              <w:autoSpaceDN w:val="0"/>
              <w:bidi w:val="0"/>
              <w:adjustRightInd w:val="0"/>
              <w:snapToGrid w:val="0"/>
              <w:spacing w:line="360" w:lineRule="auto"/>
              <w:textAlignment w:val="auto"/>
              <w:rPr>
                <w:b/>
                <w:bCs/>
                <w:color w:val="auto"/>
                <w:sz w:val="24"/>
                <w:highlight w:val="none"/>
              </w:rPr>
            </w:pPr>
            <w:bookmarkStart w:id="12" w:name="_Hlk174459711"/>
            <w:r>
              <w:rPr>
                <w:rFonts w:hint="eastAsia"/>
                <w:b/>
                <w:bCs/>
                <w:color w:val="auto"/>
                <w:sz w:val="24"/>
                <w:highlight w:val="none"/>
              </w:rPr>
              <w:t>2.</w:t>
            </w:r>
            <w:r>
              <w:rPr>
                <w:rFonts w:hint="eastAsia"/>
                <w:b/>
                <w:bCs/>
                <w:color w:val="auto"/>
                <w:sz w:val="24"/>
                <w:highlight w:val="none"/>
                <w:lang w:val="en-US" w:eastAsia="zh-CN"/>
              </w:rPr>
              <w:t>2</w:t>
            </w:r>
            <w:r>
              <w:rPr>
                <w:rFonts w:hint="eastAsia"/>
                <w:b/>
                <w:bCs/>
                <w:color w:val="auto"/>
                <w:sz w:val="24"/>
                <w:highlight w:val="none"/>
              </w:rPr>
              <w:t>项目与广西生态环境保护“十四五”规划相符性</w:t>
            </w:r>
            <w:bookmarkEnd w:id="12"/>
            <w:r>
              <w:rPr>
                <w:rFonts w:hint="eastAsia"/>
                <w:b/>
                <w:bCs/>
                <w:color w:val="auto"/>
                <w:sz w:val="24"/>
                <w:highlight w:val="none"/>
              </w:rPr>
              <w:t>分析</w:t>
            </w:r>
          </w:p>
          <w:p w14:paraId="0C4849EA">
            <w:pPr>
              <w:pageBreakBefore w:val="0"/>
              <w:widowControl w:val="0"/>
              <w:kinsoku/>
              <w:wordWrap/>
              <w:overflowPunct/>
              <w:topLinePunct w:val="0"/>
              <w:bidi w:val="0"/>
              <w:spacing w:line="360" w:lineRule="auto"/>
              <w:ind w:firstLine="480" w:firstLineChars="200"/>
              <w:textAlignment w:val="auto"/>
              <w:rPr>
                <w:color w:val="auto"/>
                <w:sz w:val="24"/>
                <w:highlight w:val="none"/>
              </w:rPr>
            </w:pPr>
            <w:r>
              <w:rPr>
                <w:rFonts w:hint="eastAsia"/>
                <w:color w:val="auto"/>
                <w:sz w:val="24"/>
                <w:highlight w:val="none"/>
              </w:rPr>
              <w:t>根据《广西壮族自治区人民政府办公厅关于印发广西生态环境保护“十四五”规划的通知》（桂政办发〔2021〕145号），“适度发展清洁煤电，加快淘汰煤电落后产能，严禁新建燃煤自备机组，在工业、农业、交通运输等领域推进天然气、电能等清洁能源替代，加快园区热电联产、集中供热和天然气供应”。</w:t>
            </w:r>
          </w:p>
          <w:p w14:paraId="0D130D64">
            <w:pPr>
              <w:pageBreakBefore w:val="0"/>
              <w:widowControl w:val="0"/>
              <w:kinsoku/>
              <w:wordWrap/>
              <w:overflowPunct/>
              <w:topLinePunct w:val="0"/>
              <w:autoSpaceDE w:val="0"/>
              <w:autoSpaceDN w:val="0"/>
              <w:bidi w:val="0"/>
              <w:adjustRightInd w:val="0"/>
              <w:spacing w:line="360" w:lineRule="auto"/>
              <w:ind w:firstLine="480" w:firstLineChars="200"/>
              <w:textAlignment w:val="auto"/>
              <w:rPr>
                <w:color w:val="auto"/>
                <w:sz w:val="24"/>
                <w:highlight w:val="none"/>
              </w:rPr>
            </w:pPr>
            <w:r>
              <w:rPr>
                <w:rFonts w:hint="eastAsia"/>
                <w:color w:val="auto"/>
                <w:sz w:val="24"/>
                <w:highlight w:val="none"/>
              </w:rPr>
              <w:t>本项目为输变电建设项目，为周边提供清洁能源（电力）供应，符合《广西生态环境保护“十四五”规划》相关要求。</w:t>
            </w:r>
          </w:p>
          <w:p w14:paraId="3721DB08">
            <w:pPr>
              <w:pageBreakBefore w:val="0"/>
              <w:widowControl w:val="0"/>
              <w:kinsoku/>
              <w:wordWrap/>
              <w:overflowPunct/>
              <w:topLinePunct w:val="0"/>
              <w:autoSpaceDN w:val="0"/>
              <w:bidi w:val="0"/>
              <w:adjustRightInd w:val="0"/>
              <w:snapToGrid w:val="0"/>
              <w:spacing w:line="360" w:lineRule="auto"/>
              <w:textAlignment w:val="auto"/>
              <w:rPr>
                <w:b/>
                <w:color w:val="auto"/>
                <w:kern w:val="0"/>
                <w:sz w:val="24"/>
                <w:highlight w:val="none"/>
              </w:rPr>
            </w:pPr>
            <w:r>
              <w:rPr>
                <w:b/>
                <w:color w:val="auto"/>
                <w:kern w:val="0"/>
                <w:sz w:val="24"/>
                <w:highlight w:val="none"/>
              </w:rPr>
              <w:t>2.</w:t>
            </w:r>
            <w:r>
              <w:rPr>
                <w:rFonts w:hint="eastAsia"/>
                <w:b/>
                <w:color w:val="auto"/>
                <w:kern w:val="0"/>
                <w:sz w:val="24"/>
                <w:highlight w:val="none"/>
                <w:lang w:val="en-US" w:eastAsia="zh-CN"/>
              </w:rPr>
              <w:t>3</w:t>
            </w:r>
            <w:r>
              <w:rPr>
                <w:b/>
                <w:color w:val="auto"/>
                <w:kern w:val="0"/>
                <w:sz w:val="24"/>
                <w:highlight w:val="none"/>
              </w:rPr>
              <w:t xml:space="preserve"> </w:t>
            </w:r>
            <w:r>
              <w:rPr>
                <w:rFonts w:hint="eastAsia"/>
                <w:b/>
                <w:color w:val="auto"/>
                <w:kern w:val="0"/>
                <w:sz w:val="24"/>
                <w:highlight w:val="none"/>
              </w:rPr>
              <w:t>项目与</w:t>
            </w:r>
            <w:r>
              <w:rPr>
                <w:rFonts w:hint="eastAsia"/>
                <w:b/>
                <w:color w:val="auto"/>
                <w:kern w:val="0"/>
                <w:sz w:val="24"/>
                <w:highlight w:val="none"/>
                <w:lang w:eastAsia="zh-CN"/>
              </w:rPr>
              <w:t>柳州市</w:t>
            </w:r>
            <w:r>
              <w:rPr>
                <w:rFonts w:hint="eastAsia"/>
                <w:b/>
                <w:color w:val="auto"/>
                <w:kern w:val="0"/>
                <w:sz w:val="24"/>
                <w:highlight w:val="none"/>
              </w:rPr>
              <w:t>生态环境保护“十四五”规划的通知的符合性</w:t>
            </w:r>
          </w:p>
          <w:p w14:paraId="5EE11426">
            <w:pPr>
              <w:pageBreakBefore w:val="0"/>
              <w:widowControl w:val="0"/>
              <w:kinsoku/>
              <w:wordWrap/>
              <w:overflowPunct/>
              <w:topLinePunct w:val="0"/>
              <w:autoSpaceDE w:val="0"/>
              <w:autoSpaceDN w:val="0"/>
              <w:bidi w:val="0"/>
              <w:adjustRightInd w:val="0"/>
              <w:spacing w:line="360" w:lineRule="auto"/>
              <w:ind w:firstLine="480" w:firstLineChars="200"/>
              <w:textAlignment w:val="auto"/>
              <w:rPr>
                <w:color w:val="auto"/>
                <w:sz w:val="24"/>
                <w:highlight w:val="none"/>
              </w:rPr>
            </w:pPr>
            <w:r>
              <w:rPr>
                <w:rFonts w:hint="eastAsia"/>
                <w:color w:val="auto"/>
                <w:kern w:val="0"/>
                <w:sz w:val="24"/>
                <w:highlight w:val="none"/>
                <w:shd w:val="clear" w:color="auto" w:fill="FFFFFF"/>
              </w:rPr>
              <w:t>根据《柳州市人民政府关于印发</w:t>
            </w:r>
            <w:r>
              <w:rPr>
                <w:rFonts w:hint="eastAsia"/>
                <w:color w:val="auto"/>
                <w:kern w:val="0"/>
                <w:sz w:val="24"/>
                <w:highlight w:val="none"/>
                <w:shd w:val="clear" w:color="auto" w:fill="FFFFFF"/>
                <w:lang w:val="en-US" w:eastAsia="zh-CN"/>
              </w:rPr>
              <w:t>&lt;</w:t>
            </w:r>
            <w:r>
              <w:rPr>
                <w:rFonts w:hint="eastAsia"/>
                <w:color w:val="auto"/>
                <w:kern w:val="0"/>
                <w:sz w:val="24"/>
                <w:highlight w:val="none"/>
                <w:shd w:val="clear" w:color="auto" w:fill="FFFFFF"/>
              </w:rPr>
              <w:t>柳州市生态环境保护“十四五”规划</w:t>
            </w:r>
            <w:r>
              <w:rPr>
                <w:rFonts w:hint="eastAsia"/>
                <w:color w:val="auto"/>
                <w:kern w:val="0"/>
                <w:sz w:val="24"/>
                <w:highlight w:val="none"/>
                <w:shd w:val="clear" w:color="auto" w:fill="FFFFFF"/>
                <w:lang w:val="en-US" w:eastAsia="zh-CN"/>
              </w:rPr>
              <w:t>&gt;</w:t>
            </w:r>
            <w:r>
              <w:rPr>
                <w:rFonts w:hint="eastAsia"/>
                <w:color w:val="auto"/>
                <w:kern w:val="0"/>
                <w:sz w:val="24"/>
                <w:highlight w:val="none"/>
                <w:shd w:val="clear" w:color="auto" w:fill="FFFFFF"/>
              </w:rPr>
              <w:t>的通知</w:t>
            </w:r>
            <w:r>
              <w:rPr>
                <w:rFonts w:hint="eastAsia" w:eastAsia="宋体"/>
                <w:color w:val="auto"/>
                <w:kern w:val="0"/>
                <w:sz w:val="24"/>
                <w:highlight w:val="none"/>
                <w:shd w:val="clear" w:color="auto" w:fill="FFFFFF"/>
              </w:rPr>
              <w:t>》</w:t>
            </w:r>
            <w:r>
              <w:rPr>
                <w:rFonts w:hint="eastAsia" w:eastAsia="宋体"/>
                <w:color w:val="auto"/>
                <w:kern w:val="0"/>
                <w:sz w:val="24"/>
                <w:highlight w:val="none"/>
                <w:shd w:val="clear" w:color="auto" w:fill="FFFFFF"/>
                <w:lang w:eastAsia="zh-CN"/>
              </w:rPr>
              <w:t>（柳政发〔2021〕35号）</w:t>
            </w:r>
            <w:r>
              <w:rPr>
                <w:rFonts w:hint="eastAsia"/>
                <w:color w:val="auto"/>
                <w:kern w:val="0"/>
                <w:sz w:val="24"/>
                <w:highlight w:val="none"/>
                <w:shd w:val="clear" w:color="auto" w:fill="FFFFFF"/>
              </w:rPr>
              <w:t>要求，本项目电力基础设施建设项目，不属于高污染高能耗项目</w:t>
            </w:r>
            <w:r>
              <w:rPr>
                <w:rFonts w:hint="eastAsia"/>
                <w:color w:val="auto"/>
                <w:kern w:val="0"/>
                <w:sz w:val="24"/>
                <w:highlight w:val="none"/>
                <w:shd w:val="clear" w:color="auto" w:fill="FFFFFF"/>
                <w:lang w:eastAsia="zh-CN"/>
              </w:rPr>
              <w:t>，</w:t>
            </w:r>
            <w:r>
              <w:rPr>
                <w:rFonts w:hint="eastAsia"/>
                <w:color w:val="auto"/>
                <w:kern w:val="0"/>
                <w:sz w:val="24"/>
                <w:highlight w:val="none"/>
                <w:shd w:val="clear" w:color="auto" w:fill="FFFFFF"/>
              </w:rPr>
              <w:t>不涉及重金属污染，运行期对土壤、地下水、生态、大气及地表水环境不产生影响</w:t>
            </w:r>
            <w:r>
              <w:rPr>
                <w:rFonts w:hint="eastAsia"/>
                <w:color w:val="auto"/>
                <w:kern w:val="0"/>
                <w:sz w:val="24"/>
                <w:highlight w:val="none"/>
                <w:shd w:val="clear" w:color="auto" w:fill="FFFFFF"/>
                <w:lang w:eastAsia="zh-CN"/>
              </w:rPr>
              <w:t>。</w:t>
            </w:r>
            <w:r>
              <w:rPr>
                <w:rFonts w:hint="eastAsia"/>
                <w:color w:val="auto"/>
                <w:kern w:val="0"/>
                <w:sz w:val="24"/>
                <w:highlight w:val="none"/>
              </w:rPr>
              <w:t>输电线路</w:t>
            </w:r>
            <w:r>
              <w:rPr>
                <w:rFonts w:hint="eastAsia"/>
                <w:color w:val="auto"/>
                <w:kern w:val="0"/>
                <w:sz w:val="24"/>
                <w:highlight w:val="none"/>
                <w:lang w:val="en-US" w:eastAsia="zh-CN"/>
              </w:rPr>
              <w:t>不涉及饮用水水源保护区、生态保护红线</w:t>
            </w:r>
            <w:r>
              <w:rPr>
                <w:rFonts w:hint="eastAsia"/>
                <w:color w:val="auto"/>
                <w:kern w:val="0"/>
                <w:sz w:val="24"/>
                <w:highlight w:val="none"/>
                <w:lang w:eastAsia="zh-CN"/>
              </w:rPr>
              <w:t>。</w:t>
            </w:r>
            <w:r>
              <w:rPr>
                <w:rFonts w:hint="eastAsia"/>
                <w:color w:val="auto"/>
                <w:kern w:val="0"/>
                <w:sz w:val="24"/>
                <w:highlight w:val="none"/>
                <w:lang w:val="en-US" w:eastAsia="zh-CN"/>
              </w:rPr>
              <w:t>因此</w:t>
            </w:r>
            <w:r>
              <w:rPr>
                <w:rFonts w:hint="eastAsia"/>
                <w:color w:val="auto"/>
                <w:sz w:val="24"/>
                <w:highlight w:val="none"/>
              </w:rPr>
              <w:t>，</w:t>
            </w:r>
            <w:r>
              <w:rPr>
                <w:rFonts w:hint="eastAsia"/>
                <w:color w:val="auto"/>
                <w:sz w:val="24"/>
                <w:highlight w:val="none"/>
                <w:lang w:val="en-US" w:eastAsia="zh-CN"/>
              </w:rPr>
              <w:t>本项目</w:t>
            </w:r>
            <w:r>
              <w:rPr>
                <w:rFonts w:hint="eastAsia"/>
                <w:color w:val="auto"/>
                <w:sz w:val="24"/>
                <w:highlight w:val="none"/>
              </w:rPr>
              <w:t>符合《</w:t>
            </w:r>
            <w:r>
              <w:rPr>
                <w:rFonts w:hint="eastAsia"/>
                <w:color w:val="auto"/>
                <w:kern w:val="0"/>
                <w:sz w:val="24"/>
                <w:highlight w:val="none"/>
                <w:shd w:val="clear" w:color="auto" w:fill="FFFFFF"/>
              </w:rPr>
              <w:t>柳州市生态环境保护“十四五”规划</w:t>
            </w:r>
            <w:r>
              <w:rPr>
                <w:rFonts w:hint="eastAsia"/>
                <w:color w:val="auto"/>
                <w:sz w:val="24"/>
                <w:highlight w:val="none"/>
              </w:rPr>
              <w:t>》相关要求。</w:t>
            </w:r>
          </w:p>
          <w:p w14:paraId="32A03C70">
            <w:pPr>
              <w:keepNext/>
              <w:keepLines/>
              <w:pageBreakBefore w:val="0"/>
              <w:widowControl w:val="0"/>
              <w:tabs>
                <w:tab w:val="left" w:pos="420"/>
                <w:tab w:val="left" w:pos="567"/>
              </w:tabs>
              <w:kinsoku/>
              <w:wordWrap/>
              <w:overflowPunct/>
              <w:topLinePunct w:val="0"/>
              <w:bidi w:val="0"/>
              <w:spacing w:line="360" w:lineRule="auto"/>
              <w:jc w:val="left"/>
              <w:textAlignment w:val="auto"/>
              <w:outlineLvl w:val="1"/>
              <w:rPr>
                <w:b/>
                <w:bCs/>
                <w:color w:val="auto"/>
                <w:sz w:val="24"/>
                <w:highlight w:val="none"/>
              </w:rPr>
            </w:pPr>
            <w:r>
              <w:rPr>
                <w:b/>
                <w:bCs/>
                <w:color w:val="auto"/>
                <w:sz w:val="24"/>
                <w:highlight w:val="none"/>
              </w:rPr>
              <w:t>2.</w:t>
            </w:r>
            <w:r>
              <w:rPr>
                <w:rFonts w:hint="eastAsia"/>
                <w:b/>
                <w:bCs/>
                <w:color w:val="auto"/>
                <w:sz w:val="24"/>
                <w:highlight w:val="none"/>
                <w:lang w:val="en-US" w:eastAsia="zh-CN"/>
              </w:rPr>
              <w:t>4</w:t>
            </w:r>
            <w:r>
              <w:rPr>
                <w:b/>
                <w:bCs/>
                <w:color w:val="auto"/>
                <w:sz w:val="24"/>
                <w:highlight w:val="none"/>
              </w:rPr>
              <w:t>项目与《输变电建设项目环境保护技术要求》的符合性分析</w:t>
            </w:r>
          </w:p>
          <w:p w14:paraId="483B6DC7">
            <w:pPr>
              <w:pageBreakBefore w:val="0"/>
              <w:widowControl w:val="0"/>
              <w:kinsoku/>
              <w:wordWrap/>
              <w:overflowPunct/>
              <w:topLinePunct w:val="0"/>
              <w:autoSpaceDN w:val="0"/>
              <w:bidi w:val="0"/>
              <w:snapToGrid w:val="0"/>
              <w:spacing w:line="360" w:lineRule="auto"/>
              <w:ind w:firstLine="480" w:firstLineChars="200"/>
              <w:textAlignment w:val="auto"/>
              <w:rPr>
                <w:color w:val="auto"/>
                <w:sz w:val="24"/>
                <w:highlight w:val="none"/>
              </w:rPr>
            </w:pPr>
            <w:r>
              <w:rPr>
                <w:color w:val="auto"/>
                <w:sz w:val="24"/>
                <w:highlight w:val="none"/>
              </w:rPr>
              <w:t>《输变电建设项目环境保护技术要求》（</w:t>
            </w:r>
            <w:r>
              <w:rPr>
                <w:rFonts w:hint="eastAsia"/>
                <w:color w:val="auto"/>
                <w:sz w:val="24"/>
                <w:highlight w:val="none"/>
                <w:lang w:eastAsia="zh-CN"/>
              </w:rPr>
              <w:t xml:space="preserve">HJ </w:t>
            </w:r>
            <w:r>
              <w:rPr>
                <w:color w:val="auto"/>
                <w:sz w:val="24"/>
                <w:highlight w:val="none"/>
              </w:rPr>
              <w:t>1113-2020）从选址、设计方面提出了相关要求，本项目与其符合性分析见下表1-</w:t>
            </w:r>
            <w:r>
              <w:rPr>
                <w:rFonts w:hint="eastAsia"/>
                <w:color w:val="auto"/>
                <w:sz w:val="24"/>
                <w:highlight w:val="none"/>
                <w:lang w:val="en-US" w:eastAsia="zh-CN"/>
              </w:rPr>
              <w:t>2</w:t>
            </w:r>
            <w:r>
              <w:rPr>
                <w:color w:val="auto"/>
                <w:sz w:val="24"/>
                <w:highlight w:val="none"/>
              </w:rPr>
              <w:t>。</w:t>
            </w:r>
          </w:p>
          <w:p w14:paraId="15018450">
            <w:pPr>
              <w:tabs>
                <w:tab w:val="left" w:pos="4"/>
              </w:tabs>
              <w:adjustRightInd w:val="0"/>
              <w:snapToGrid w:val="0"/>
              <w:jc w:val="center"/>
              <w:rPr>
                <w:b/>
                <w:bCs/>
                <w:color w:val="auto"/>
                <w:sz w:val="24"/>
                <w:highlight w:val="none"/>
              </w:rPr>
            </w:pPr>
          </w:p>
          <w:p w14:paraId="2AEF4402">
            <w:pPr>
              <w:tabs>
                <w:tab w:val="left" w:pos="4"/>
              </w:tabs>
              <w:adjustRightInd w:val="0"/>
              <w:snapToGrid w:val="0"/>
              <w:jc w:val="center"/>
              <w:rPr>
                <w:b/>
                <w:bCs/>
                <w:color w:val="auto"/>
                <w:sz w:val="24"/>
                <w:highlight w:val="none"/>
              </w:rPr>
            </w:pPr>
            <w:r>
              <w:rPr>
                <w:b/>
                <w:bCs/>
                <w:color w:val="auto"/>
                <w:sz w:val="24"/>
                <w:highlight w:val="none"/>
              </w:rPr>
              <w:t>表1-</w:t>
            </w:r>
            <w:r>
              <w:rPr>
                <w:rFonts w:hint="eastAsia"/>
                <w:b/>
                <w:bCs/>
                <w:color w:val="auto"/>
                <w:sz w:val="24"/>
                <w:highlight w:val="none"/>
                <w:lang w:val="en-US" w:eastAsia="zh-CN"/>
              </w:rPr>
              <w:t>2</w:t>
            </w:r>
            <w:r>
              <w:rPr>
                <w:b/>
                <w:bCs/>
                <w:color w:val="auto"/>
                <w:sz w:val="24"/>
                <w:highlight w:val="none"/>
              </w:rPr>
              <w:t xml:space="preserve">  </w:t>
            </w:r>
            <w:r>
              <w:rPr>
                <w:b/>
                <w:bCs/>
                <w:color w:val="auto"/>
                <w:sz w:val="24"/>
                <w:highlight w:val="none"/>
                <w:lang w:bidi="ar"/>
              </w:rPr>
              <w:t>与</w:t>
            </w:r>
            <w:r>
              <w:rPr>
                <w:b/>
                <w:bCs/>
                <w:color w:val="auto"/>
                <w:sz w:val="24"/>
                <w:highlight w:val="none"/>
              </w:rPr>
              <w:t>《输变电建设项目环境保护技术要求》符合性</w:t>
            </w:r>
          </w:p>
          <w:tbl>
            <w:tblPr>
              <w:tblStyle w:val="44"/>
              <w:tblW w:w="48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
              <w:gridCol w:w="413"/>
              <w:gridCol w:w="4233"/>
              <w:gridCol w:w="2934"/>
              <w:gridCol w:w="650"/>
            </w:tblGrid>
            <w:tr w14:paraId="34C4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478" w:type="pct"/>
                  <w:gridSpan w:val="2"/>
                  <w:vAlign w:val="center"/>
                </w:tcPr>
                <w:p w14:paraId="3810DCF7">
                  <w:pPr>
                    <w:tabs>
                      <w:tab w:val="left" w:pos="4"/>
                    </w:tabs>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类型</w:t>
                  </w:r>
                </w:p>
              </w:tc>
              <w:tc>
                <w:tcPr>
                  <w:tcW w:w="2449" w:type="pct"/>
                  <w:vAlign w:val="center"/>
                </w:tcPr>
                <w:p w14:paraId="79F9BA35">
                  <w:pPr>
                    <w:tabs>
                      <w:tab w:val="left" w:pos="4"/>
                    </w:tabs>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涉及输电线路的要求</w:t>
                  </w:r>
                </w:p>
              </w:tc>
              <w:tc>
                <w:tcPr>
                  <w:tcW w:w="1697" w:type="pct"/>
                  <w:vAlign w:val="center"/>
                </w:tcPr>
                <w:p w14:paraId="7C697238">
                  <w:pPr>
                    <w:tabs>
                      <w:tab w:val="left" w:pos="4"/>
                    </w:tabs>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本项目情况</w:t>
                  </w:r>
                </w:p>
              </w:tc>
              <w:tc>
                <w:tcPr>
                  <w:tcW w:w="376" w:type="pct"/>
                  <w:vAlign w:val="center"/>
                </w:tcPr>
                <w:p w14:paraId="744FCEFE">
                  <w:pPr>
                    <w:tabs>
                      <w:tab w:val="left" w:pos="4"/>
                    </w:tabs>
                    <w:snapToGrid w:val="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符合性</w:t>
                  </w:r>
                </w:p>
              </w:tc>
            </w:tr>
            <w:tr w14:paraId="71BAB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8" w:type="pct"/>
                  <w:gridSpan w:val="2"/>
                  <w:vMerge w:val="restart"/>
                  <w:vAlign w:val="center"/>
                </w:tcPr>
                <w:p w14:paraId="00187017">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选址选线</w:t>
                  </w:r>
                </w:p>
              </w:tc>
              <w:tc>
                <w:tcPr>
                  <w:tcW w:w="2449" w:type="pct"/>
                  <w:vAlign w:val="center"/>
                </w:tcPr>
                <w:p w14:paraId="4490CF50">
                  <w:pPr>
                    <w:tabs>
                      <w:tab w:val="left" w:pos="4"/>
                    </w:tabs>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工程选址选线应符合规划环境影响评价文件的要求。</w:t>
                  </w:r>
                </w:p>
              </w:tc>
              <w:tc>
                <w:tcPr>
                  <w:tcW w:w="1697" w:type="pct"/>
                  <w:vAlign w:val="center"/>
                </w:tcPr>
                <w:p w14:paraId="026E094F">
                  <w:pPr>
                    <w:tabs>
                      <w:tab w:val="left" w:pos="4"/>
                    </w:tabs>
                    <w:snapToGrid w:val="0"/>
                    <w:jc w:val="both"/>
                    <w:rPr>
                      <w:rFonts w:hint="default" w:ascii="Times New Roman" w:hAnsi="Times New Roman" w:cs="Times New Roman"/>
                      <w:color w:val="auto"/>
                      <w:sz w:val="21"/>
                      <w:szCs w:val="21"/>
                      <w:highlight w:val="none"/>
                    </w:rPr>
                  </w:pPr>
                  <w:r>
                    <w:rPr>
                      <w:rFonts w:hint="eastAsia"/>
                      <w:color w:val="auto"/>
                      <w:highlight w:val="none"/>
                    </w:rPr>
                    <w:t>项目所在区域不涉及规划环境影响评价。</w:t>
                  </w:r>
                </w:p>
              </w:tc>
              <w:tc>
                <w:tcPr>
                  <w:tcW w:w="376" w:type="pct"/>
                  <w:vAlign w:val="center"/>
                </w:tcPr>
                <w:p w14:paraId="5267C343">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12F71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6" w:hRule="atLeast"/>
                <w:jc w:val="center"/>
              </w:trPr>
              <w:tc>
                <w:tcPr>
                  <w:tcW w:w="478" w:type="pct"/>
                  <w:gridSpan w:val="2"/>
                  <w:vMerge w:val="continue"/>
                  <w:vAlign w:val="center"/>
                </w:tcPr>
                <w:p w14:paraId="2321C298">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6133179C">
                  <w:pPr>
                    <w:tabs>
                      <w:tab w:val="left" w:pos="4"/>
                    </w:tabs>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输变电建设项目选址选线应符合生态保护红线管控要求，避让自然保护区、饮用水水源保护区等环境敏感区。确实因自然条件等因素限制无法避让自然保护区实验区、饮用水水源二级保护区等环境敏感区的输电线路，应在满足相关法律法规及管理要求的前提下对线路方案进行唯一性论证，并采取无害化方式通过。</w:t>
                  </w:r>
                </w:p>
              </w:tc>
              <w:tc>
                <w:tcPr>
                  <w:tcW w:w="1697" w:type="pct"/>
                  <w:vAlign w:val="center"/>
                </w:tcPr>
                <w:p w14:paraId="001DA613">
                  <w:pPr>
                    <w:tabs>
                      <w:tab w:val="left" w:pos="4"/>
                    </w:tabs>
                    <w:snapToGrid w:val="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w:t>
                  </w:r>
                  <w:r>
                    <w:rPr>
                      <w:rFonts w:hint="eastAsia" w:cs="Times New Roman"/>
                      <w:color w:val="auto"/>
                      <w:sz w:val="21"/>
                      <w:szCs w:val="21"/>
                      <w:highlight w:val="none"/>
                      <w:lang w:val="en-US" w:eastAsia="zh-CN"/>
                    </w:rPr>
                    <w:t>项目线路</w:t>
                  </w:r>
                  <w:r>
                    <w:rPr>
                      <w:rFonts w:hint="default" w:ascii="Times New Roman" w:hAnsi="Times New Roman" w:cs="Times New Roman"/>
                      <w:color w:val="auto"/>
                      <w:sz w:val="21"/>
                      <w:szCs w:val="21"/>
                      <w:highlight w:val="none"/>
                    </w:rPr>
                    <w:t>不涉及生态保护红线</w:t>
                  </w:r>
                  <w:r>
                    <w:rPr>
                      <w:rFonts w:hint="default" w:ascii="Times New Roman" w:hAnsi="Times New Roman" w:cs="Times New Roman"/>
                      <w:color w:val="auto"/>
                      <w:sz w:val="21"/>
                      <w:szCs w:val="21"/>
                      <w:highlight w:val="none"/>
                      <w:lang w:eastAsia="zh-CN"/>
                    </w:rPr>
                    <w:t>、自然保护区、饮用水水源保护区等</w:t>
                  </w:r>
                  <w:r>
                    <w:rPr>
                      <w:rFonts w:hint="default" w:ascii="Times New Roman" w:hAnsi="Times New Roman" w:cs="Times New Roman"/>
                      <w:color w:val="auto"/>
                      <w:sz w:val="21"/>
                      <w:szCs w:val="21"/>
                      <w:highlight w:val="none"/>
                    </w:rPr>
                    <w:t>。</w:t>
                  </w:r>
                </w:p>
              </w:tc>
              <w:tc>
                <w:tcPr>
                  <w:tcW w:w="376" w:type="pct"/>
                  <w:vAlign w:val="center"/>
                </w:tcPr>
                <w:p w14:paraId="0C78D7AF">
                  <w:pPr>
                    <w:tabs>
                      <w:tab w:val="left" w:pos="4"/>
                    </w:tabs>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EC0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478" w:type="pct"/>
                  <w:gridSpan w:val="2"/>
                  <w:vMerge w:val="continue"/>
                  <w:vAlign w:val="center"/>
                </w:tcPr>
                <w:p w14:paraId="2B69CA59">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14848B65">
                  <w:pPr>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变电工程在选址时应按终期规模综合考虑进出线走廊规划，避免进出线进入自然保护区、饮用水水源保护区等环境敏感区。</w:t>
                  </w:r>
                </w:p>
              </w:tc>
              <w:tc>
                <w:tcPr>
                  <w:tcW w:w="2934" w:type="dxa"/>
                  <w:vAlign w:val="center"/>
                </w:tcPr>
                <w:p w14:paraId="3BE44F5C">
                  <w:pPr>
                    <w:tabs>
                      <w:tab w:val="left" w:pos="4"/>
                    </w:tabs>
                    <w:snapToGrid w:val="0"/>
                    <w:jc w:val="both"/>
                    <w:rPr>
                      <w:rFonts w:hint="default" w:ascii="Times New Roman" w:hAnsi="Times New Roman" w:cs="Times New Roman"/>
                      <w:color w:val="auto"/>
                      <w:sz w:val="21"/>
                      <w:szCs w:val="21"/>
                      <w:highlight w:val="none"/>
                    </w:rPr>
                  </w:pPr>
                  <w:r>
                    <w:rPr>
                      <w:rStyle w:val="51"/>
                      <w:rFonts w:hint="eastAsia"/>
                      <w:color w:val="auto"/>
                      <w:kern w:val="0"/>
                      <w:szCs w:val="20"/>
                      <w:highlight w:val="none"/>
                    </w:rPr>
                    <w:t>本项目为输电线路工程，</w:t>
                  </w:r>
                  <w:r>
                    <w:rPr>
                      <w:color w:val="auto"/>
                      <w:kern w:val="0"/>
                      <w:szCs w:val="21"/>
                      <w:highlight w:val="none"/>
                    </w:rPr>
                    <w:t>不涉及变电工程选址。</w:t>
                  </w:r>
                </w:p>
              </w:tc>
              <w:tc>
                <w:tcPr>
                  <w:tcW w:w="650" w:type="dxa"/>
                  <w:vAlign w:val="center"/>
                </w:tcPr>
                <w:p w14:paraId="40C55E51">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0B4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478" w:type="pct"/>
                  <w:gridSpan w:val="2"/>
                  <w:vMerge w:val="continue"/>
                  <w:vAlign w:val="center"/>
                </w:tcPr>
                <w:p w14:paraId="5B04A5A9">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5C5425BA">
                  <w:pPr>
                    <w:tabs>
                      <w:tab w:val="left" w:pos="4"/>
                    </w:tabs>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户外变电工程及规划架空进出线选址选线时，应关注以居住、医疗卫生、文化教育、科研、行政办公等为主要功能的区域，采取综合措施，减少电磁和声环境影响。</w:t>
                  </w:r>
                </w:p>
              </w:tc>
              <w:tc>
                <w:tcPr>
                  <w:tcW w:w="2934" w:type="dxa"/>
                  <w:vAlign w:val="center"/>
                </w:tcPr>
                <w:p w14:paraId="2338288A">
                  <w:pPr>
                    <w:tabs>
                      <w:tab w:val="left" w:pos="4"/>
                    </w:tabs>
                    <w:snapToGrid w:val="0"/>
                    <w:jc w:val="both"/>
                    <w:rPr>
                      <w:rFonts w:hint="default" w:ascii="Times New Roman" w:hAnsi="Times New Roman" w:eastAsia="宋体" w:cs="Times New Roman"/>
                      <w:color w:val="auto"/>
                      <w:sz w:val="21"/>
                      <w:szCs w:val="21"/>
                      <w:highlight w:val="none"/>
                      <w:lang w:val="en-US" w:eastAsia="zh-CN"/>
                    </w:rPr>
                  </w:pPr>
                  <w:r>
                    <w:rPr>
                      <w:rStyle w:val="51"/>
                      <w:rFonts w:hint="eastAsia"/>
                      <w:color w:val="auto"/>
                      <w:kern w:val="0"/>
                      <w:szCs w:val="20"/>
                      <w:highlight w:val="none"/>
                    </w:rPr>
                    <w:t>本项目</w:t>
                  </w:r>
                  <w:r>
                    <w:rPr>
                      <w:color w:val="auto"/>
                      <w:kern w:val="0"/>
                      <w:szCs w:val="21"/>
                      <w:highlight w:val="none"/>
                    </w:rPr>
                    <w:t>在严格落实本评价提出的相关环保措施的前提下，本项目对周边的电磁环境影响均能满足相关标准要求。</w:t>
                  </w:r>
                </w:p>
              </w:tc>
              <w:tc>
                <w:tcPr>
                  <w:tcW w:w="650" w:type="dxa"/>
                  <w:vAlign w:val="center"/>
                </w:tcPr>
                <w:p w14:paraId="3C77F30D">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2026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478" w:type="pct"/>
                  <w:gridSpan w:val="2"/>
                  <w:vMerge w:val="continue"/>
                  <w:vAlign w:val="center"/>
                </w:tcPr>
                <w:p w14:paraId="757F4294">
                  <w:pPr>
                    <w:tabs>
                      <w:tab w:val="left" w:pos="4"/>
                    </w:tabs>
                    <w:snapToGrid w:val="0"/>
                    <w:jc w:val="left"/>
                    <w:rPr>
                      <w:rFonts w:hint="default" w:ascii="Times New Roman" w:hAnsi="Times New Roman" w:cs="Times New Roman"/>
                      <w:color w:val="auto"/>
                      <w:sz w:val="21"/>
                      <w:szCs w:val="21"/>
                      <w:highlight w:val="none"/>
                    </w:rPr>
                  </w:pPr>
                </w:p>
              </w:tc>
              <w:tc>
                <w:tcPr>
                  <w:tcW w:w="2449" w:type="pct"/>
                  <w:vAlign w:val="center"/>
                </w:tcPr>
                <w:p w14:paraId="2E2A2532">
                  <w:pPr>
                    <w:tabs>
                      <w:tab w:val="left" w:pos="4"/>
                    </w:tabs>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原则上避免在0类声环境功能区建设变电工程。</w:t>
                  </w:r>
                </w:p>
              </w:tc>
              <w:tc>
                <w:tcPr>
                  <w:tcW w:w="1697" w:type="pct"/>
                  <w:vAlign w:val="center"/>
                </w:tcPr>
                <w:p w14:paraId="21E1CBB4">
                  <w:pPr>
                    <w:tabs>
                      <w:tab w:val="left" w:pos="4"/>
                    </w:tabs>
                    <w:snapToGrid w:val="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经现场核实，本项目评价范围内无0类声环境功能区。</w:t>
                  </w:r>
                </w:p>
              </w:tc>
              <w:tc>
                <w:tcPr>
                  <w:tcW w:w="376" w:type="pct"/>
                  <w:vAlign w:val="center"/>
                </w:tcPr>
                <w:p w14:paraId="6E507860">
                  <w:pPr>
                    <w:tabs>
                      <w:tab w:val="left" w:pos="4"/>
                    </w:tabs>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0CD22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478" w:type="pct"/>
                  <w:gridSpan w:val="2"/>
                  <w:vMerge w:val="continue"/>
                  <w:vAlign w:val="center"/>
                </w:tcPr>
                <w:p w14:paraId="132D37FF">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48C9F8AB">
                  <w:pPr>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变电工程选址时，应综合考虑减少土地占用、植被砍伐和弃土弃渣等，以减少对生态环境的不利影响。</w:t>
                  </w:r>
                </w:p>
              </w:tc>
              <w:tc>
                <w:tcPr>
                  <w:tcW w:w="2934" w:type="dxa"/>
                  <w:vAlign w:val="center"/>
                </w:tcPr>
                <w:p w14:paraId="104BD0F0">
                  <w:pPr>
                    <w:tabs>
                      <w:tab w:val="left" w:pos="4"/>
                    </w:tabs>
                    <w:snapToGrid w:val="0"/>
                    <w:jc w:val="both"/>
                    <w:rPr>
                      <w:rFonts w:hint="default" w:ascii="Times New Roman" w:hAnsi="Times New Roman" w:cs="Times New Roman"/>
                      <w:color w:val="auto"/>
                      <w:sz w:val="21"/>
                      <w:szCs w:val="21"/>
                      <w:highlight w:val="none"/>
                    </w:rPr>
                  </w:pPr>
                  <w:r>
                    <w:rPr>
                      <w:rStyle w:val="51"/>
                      <w:rFonts w:hint="eastAsia"/>
                      <w:color w:val="auto"/>
                      <w:kern w:val="0"/>
                      <w:szCs w:val="20"/>
                      <w:highlight w:val="none"/>
                    </w:rPr>
                    <w:t>本项目为输电线路工程，</w:t>
                  </w:r>
                  <w:r>
                    <w:rPr>
                      <w:color w:val="auto"/>
                      <w:kern w:val="0"/>
                      <w:szCs w:val="21"/>
                      <w:highlight w:val="none"/>
                    </w:rPr>
                    <w:t>不涉及变电工程选址。</w:t>
                  </w:r>
                </w:p>
              </w:tc>
              <w:tc>
                <w:tcPr>
                  <w:tcW w:w="650" w:type="dxa"/>
                  <w:vAlign w:val="center"/>
                </w:tcPr>
                <w:p w14:paraId="79ECCF1A">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15C3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478" w:type="pct"/>
                  <w:gridSpan w:val="2"/>
                  <w:vMerge w:val="continue"/>
                  <w:vAlign w:val="center"/>
                </w:tcPr>
                <w:p w14:paraId="747299C1">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6B81734D">
                  <w:pPr>
                    <w:tabs>
                      <w:tab w:val="left" w:pos="4"/>
                    </w:tabs>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输电线路宜避让集中林区，以减少林木砍伐，保护生态环境。</w:t>
                  </w:r>
                </w:p>
              </w:tc>
              <w:tc>
                <w:tcPr>
                  <w:tcW w:w="1697" w:type="pct"/>
                  <w:vAlign w:val="center"/>
                </w:tcPr>
                <w:p w14:paraId="60314A48">
                  <w:pPr>
                    <w:jc w:val="both"/>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本项目</w:t>
                  </w:r>
                  <w:r>
                    <w:rPr>
                      <w:rFonts w:hint="eastAsia" w:cs="Times New Roman"/>
                      <w:color w:val="auto"/>
                      <w:sz w:val="21"/>
                      <w:szCs w:val="21"/>
                      <w:highlight w:val="none"/>
                      <w:lang w:val="en-US" w:eastAsia="zh-CN"/>
                    </w:rPr>
                    <w:t>不涉及林区</w:t>
                  </w:r>
                  <w:r>
                    <w:rPr>
                      <w:rFonts w:hint="default" w:ascii="Times New Roman" w:hAnsi="Times New Roman" w:cs="Times New Roman"/>
                      <w:color w:val="auto"/>
                      <w:sz w:val="21"/>
                      <w:szCs w:val="21"/>
                      <w:highlight w:val="none"/>
                    </w:rPr>
                    <w:t>。</w:t>
                  </w:r>
                </w:p>
              </w:tc>
              <w:tc>
                <w:tcPr>
                  <w:tcW w:w="376" w:type="pct"/>
                  <w:vAlign w:val="center"/>
                </w:tcPr>
                <w:p w14:paraId="5DFB88FE">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44B49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78" w:type="pct"/>
                  <w:gridSpan w:val="2"/>
                  <w:vMerge w:val="continue"/>
                  <w:vAlign w:val="center"/>
                </w:tcPr>
                <w:p w14:paraId="017F90B8">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15DF99B2">
                  <w:pPr>
                    <w:tabs>
                      <w:tab w:val="left" w:pos="4"/>
                    </w:tabs>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进入自然保护区的输电线路，应按照HJ19的要求开展生态现状调查，避让保护对象的集中分布区。</w:t>
                  </w:r>
                </w:p>
              </w:tc>
              <w:tc>
                <w:tcPr>
                  <w:tcW w:w="1697" w:type="pct"/>
                  <w:vAlign w:val="center"/>
                </w:tcPr>
                <w:p w14:paraId="3E17F3A5">
                  <w:pPr>
                    <w:tabs>
                      <w:tab w:val="left" w:pos="4"/>
                    </w:tabs>
                    <w:snapToGrid w:val="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本项目</w:t>
                  </w:r>
                  <w:r>
                    <w:rPr>
                      <w:rFonts w:hint="default" w:ascii="Times New Roman" w:hAnsi="Times New Roman" w:cs="Times New Roman"/>
                      <w:color w:val="auto"/>
                      <w:sz w:val="21"/>
                      <w:szCs w:val="21"/>
                      <w:highlight w:val="none"/>
                    </w:rPr>
                    <w:t>区域不涉及自然保护区。</w:t>
                  </w:r>
                </w:p>
              </w:tc>
              <w:tc>
                <w:tcPr>
                  <w:tcW w:w="376" w:type="pct"/>
                  <w:vAlign w:val="center"/>
                </w:tcPr>
                <w:p w14:paraId="37EAC5D7">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4902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jc w:val="center"/>
              </w:trPr>
              <w:tc>
                <w:tcPr>
                  <w:tcW w:w="239" w:type="pct"/>
                  <w:vMerge w:val="restart"/>
                  <w:vAlign w:val="center"/>
                </w:tcPr>
                <w:p w14:paraId="5E15EF87">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设计</w:t>
                  </w:r>
                </w:p>
              </w:tc>
              <w:tc>
                <w:tcPr>
                  <w:tcW w:w="239" w:type="pct"/>
                  <w:vMerge w:val="restart"/>
                  <w:vAlign w:val="center"/>
                </w:tcPr>
                <w:p w14:paraId="0A92FBE4">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总体要求</w:t>
                  </w:r>
                </w:p>
              </w:tc>
              <w:tc>
                <w:tcPr>
                  <w:tcW w:w="2449" w:type="pct"/>
                  <w:vAlign w:val="center"/>
                </w:tcPr>
                <w:p w14:paraId="43D6183E">
                  <w:pPr>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输变电建设项目的初步设计、施工图设计文件中应包含相关的环境保护内容，编制环境保护篇章、开展环境保护专项设计，落实防治环境污染和生态破坏的措施、设施及相应资金。</w:t>
                  </w:r>
                </w:p>
              </w:tc>
              <w:tc>
                <w:tcPr>
                  <w:tcW w:w="1697" w:type="pct"/>
                  <w:vAlign w:val="center"/>
                </w:tcPr>
                <w:p w14:paraId="076CE821">
                  <w:pPr>
                    <w:tabs>
                      <w:tab w:val="left" w:pos="4"/>
                    </w:tabs>
                    <w:snapToGrid w:val="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本项目在可行性研究报告和初设报告中设置有环境保护专章，在初设阶段开展了环境保护专项设计，落实防治环境污染和生态破坏的措施、设施及相应资金。</w:t>
                  </w:r>
                </w:p>
              </w:tc>
              <w:tc>
                <w:tcPr>
                  <w:tcW w:w="376" w:type="pct"/>
                  <w:vAlign w:val="center"/>
                </w:tcPr>
                <w:p w14:paraId="7811F926">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42D0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239" w:type="pct"/>
                  <w:vMerge w:val="continue"/>
                  <w:vAlign w:val="center"/>
                </w:tcPr>
                <w:p w14:paraId="09EA6168">
                  <w:pPr>
                    <w:tabs>
                      <w:tab w:val="left" w:pos="4"/>
                    </w:tabs>
                    <w:snapToGrid w:val="0"/>
                    <w:jc w:val="center"/>
                    <w:rPr>
                      <w:rFonts w:hint="default" w:ascii="Times New Roman" w:hAnsi="Times New Roman" w:cs="Times New Roman"/>
                      <w:color w:val="auto"/>
                      <w:sz w:val="21"/>
                      <w:szCs w:val="21"/>
                      <w:highlight w:val="none"/>
                    </w:rPr>
                  </w:pPr>
                </w:p>
              </w:tc>
              <w:tc>
                <w:tcPr>
                  <w:tcW w:w="239" w:type="pct"/>
                  <w:vMerge w:val="continue"/>
                  <w:vAlign w:val="center"/>
                </w:tcPr>
                <w:p w14:paraId="7FA7764B">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56721F32">
                  <w:pPr>
                    <w:tabs>
                      <w:tab w:val="left" w:pos="4"/>
                    </w:tabs>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改建、扩建输变电建设项目应采取措施，治理与该项目有关的原有环境污染和生态破坏。</w:t>
                  </w:r>
                </w:p>
              </w:tc>
              <w:tc>
                <w:tcPr>
                  <w:tcW w:w="2934" w:type="dxa"/>
                  <w:vAlign w:val="center"/>
                </w:tcPr>
                <w:p w14:paraId="7323960E">
                  <w:pPr>
                    <w:tabs>
                      <w:tab w:val="left" w:pos="4"/>
                    </w:tabs>
                    <w:snapToGrid w:val="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w:t>
                  </w:r>
                  <w:r>
                    <w:rPr>
                      <w:rFonts w:hint="eastAsia" w:cs="Times New Roman"/>
                      <w:color w:val="auto"/>
                      <w:sz w:val="21"/>
                      <w:szCs w:val="21"/>
                      <w:highlight w:val="none"/>
                      <w:lang w:val="en-US" w:eastAsia="zh-CN"/>
                    </w:rPr>
                    <w:t>为新建电缆线路</w:t>
                  </w:r>
                  <w:r>
                    <w:rPr>
                      <w:rFonts w:hint="eastAsia" w:cs="Times New Roman"/>
                      <w:color w:val="auto"/>
                      <w:sz w:val="21"/>
                      <w:szCs w:val="21"/>
                      <w:highlight w:val="none"/>
                      <w:lang w:eastAsia="zh-CN"/>
                    </w:rPr>
                    <w:t>，</w:t>
                  </w:r>
                  <w:r>
                    <w:rPr>
                      <w:rFonts w:hint="default" w:ascii="Times New Roman" w:hAnsi="Times New Roman" w:cs="Times New Roman"/>
                      <w:color w:val="auto"/>
                      <w:sz w:val="21"/>
                      <w:szCs w:val="21"/>
                      <w:highlight w:val="none"/>
                    </w:rPr>
                    <w:t>无原有环境污染和生态破坏情况。</w:t>
                  </w:r>
                </w:p>
              </w:tc>
              <w:tc>
                <w:tcPr>
                  <w:tcW w:w="650" w:type="dxa"/>
                  <w:vAlign w:val="center"/>
                </w:tcPr>
                <w:p w14:paraId="37408F92">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1C9D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239" w:type="pct"/>
                  <w:vMerge w:val="continue"/>
                  <w:vAlign w:val="center"/>
                </w:tcPr>
                <w:p w14:paraId="5B1E5D3C">
                  <w:pPr>
                    <w:tabs>
                      <w:tab w:val="left" w:pos="4"/>
                    </w:tabs>
                    <w:snapToGrid w:val="0"/>
                    <w:jc w:val="center"/>
                    <w:rPr>
                      <w:rFonts w:hint="default" w:ascii="Times New Roman" w:hAnsi="Times New Roman" w:cs="Times New Roman"/>
                      <w:color w:val="auto"/>
                      <w:sz w:val="21"/>
                      <w:szCs w:val="21"/>
                      <w:highlight w:val="none"/>
                    </w:rPr>
                  </w:pPr>
                </w:p>
              </w:tc>
              <w:tc>
                <w:tcPr>
                  <w:tcW w:w="239" w:type="pct"/>
                  <w:vMerge w:val="continue"/>
                  <w:vAlign w:val="center"/>
                </w:tcPr>
                <w:p w14:paraId="36EBBB29">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0C77F11C">
                  <w:pPr>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输电线路进入自然保护区实验区、饮用水水源保护区等环境敏感区时，应采取塔基定位避让、减少进入长度、控制导线高度等环境保护措施，减少对环境保护对象的不利影响。</w:t>
                  </w:r>
                </w:p>
              </w:tc>
              <w:tc>
                <w:tcPr>
                  <w:tcW w:w="1697" w:type="pct"/>
                  <w:vAlign w:val="center"/>
                </w:tcPr>
                <w:p w14:paraId="70697125">
                  <w:pPr>
                    <w:tabs>
                      <w:tab w:val="left" w:pos="4"/>
                    </w:tabs>
                    <w:snapToGrid w:val="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w:t>
                  </w:r>
                  <w:r>
                    <w:rPr>
                      <w:rFonts w:hint="default" w:ascii="Times New Roman" w:hAnsi="Times New Roman" w:cs="Times New Roman"/>
                      <w:color w:val="auto"/>
                      <w:sz w:val="21"/>
                      <w:szCs w:val="21"/>
                      <w:highlight w:val="none"/>
                    </w:rPr>
                    <w:t>输电线路</w:t>
                  </w:r>
                  <w:r>
                    <w:rPr>
                      <w:rFonts w:hint="default" w:ascii="Times New Roman" w:hAnsi="Times New Roman" w:cs="Times New Roman"/>
                      <w:color w:val="auto"/>
                      <w:sz w:val="21"/>
                      <w:szCs w:val="21"/>
                      <w:highlight w:val="none"/>
                      <w:lang w:val="en-US" w:eastAsia="zh-CN"/>
                    </w:rPr>
                    <w:t>不涉及</w:t>
                  </w:r>
                  <w:r>
                    <w:rPr>
                      <w:rFonts w:hint="default" w:ascii="Times New Roman" w:hAnsi="Times New Roman" w:cs="Times New Roman"/>
                      <w:color w:val="auto"/>
                      <w:sz w:val="21"/>
                      <w:szCs w:val="21"/>
                      <w:highlight w:val="none"/>
                    </w:rPr>
                    <w:t>自然保护区、饮用水水源保护区等环境敏感区</w:t>
                  </w:r>
                  <w:r>
                    <w:rPr>
                      <w:rFonts w:hint="default" w:ascii="Times New Roman" w:hAnsi="Times New Roman" w:cs="Times New Roman"/>
                      <w:color w:val="auto"/>
                      <w:sz w:val="21"/>
                      <w:szCs w:val="21"/>
                      <w:highlight w:val="none"/>
                      <w:lang w:eastAsia="zh-CN"/>
                    </w:rPr>
                    <w:t>。</w:t>
                  </w:r>
                </w:p>
              </w:tc>
              <w:tc>
                <w:tcPr>
                  <w:tcW w:w="376" w:type="pct"/>
                  <w:vAlign w:val="center"/>
                </w:tcPr>
                <w:p w14:paraId="18269E91">
                  <w:pPr>
                    <w:tabs>
                      <w:tab w:val="left" w:pos="4"/>
                    </w:tabs>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2101C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239" w:type="pct"/>
                  <w:vMerge w:val="continue"/>
                  <w:vAlign w:val="center"/>
                </w:tcPr>
                <w:p w14:paraId="6EAFA487">
                  <w:pPr>
                    <w:tabs>
                      <w:tab w:val="left" w:pos="4"/>
                    </w:tabs>
                    <w:snapToGrid w:val="0"/>
                    <w:jc w:val="center"/>
                    <w:rPr>
                      <w:rFonts w:hint="default" w:ascii="Times New Roman" w:hAnsi="Times New Roman" w:cs="Times New Roman"/>
                      <w:color w:val="auto"/>
                      <w:sz w:val="21"/>
                      <w:szCs w:val="21"/>
                      <w:highlight w:val="none"/>
                    </w:rPr>
                  </w:pPr>
                </w:p>
              </w:tc>
              <w:tc>
                <w:tcPr>
                  <w:tcW w:w="239" w:type="pct"/>
                  <w:vMerge w:val="continue"/>
                  <w:vAlign w:val="center"/>
                </w:tcPr>
                <w:p w14:paraId="6347B29F">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509C6709">
                  <w:pPr>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变电工程应设置足够容量的事故油池及其配套的拦截、防雨、防渗等措施和设施。一旦发生泄漏，应能及时进行进行拦截和处理，确保油及油水混合物全部收集、不外排。</w:t>
                  </w:r>
                </w:p>
              </w:tc>
              <w:tc>
                <w:tcPr>
                  <w:tcW w:w="2934" w:type="dxa"/>
                  <w:vAlign w:val="center"/>
                </w:tcPr>
                <w:p w14:paraId="1B29A5FB">
                  <w:pPr>
                    <w:snapToGrid w:val="0"/>
                    <w:jc w:val="both"/>
                    <w:rPr>
                      <w:rFonts w:hint="default" w:ascii="Times New Roman" w:hAnsi="Times New Roman" w:cs="Times New Roman"/>
                      <w:color w:val="auto"/>
                      <w:sz w:val="21"/>
                      <w:szCs w:val="21"/>
                      <w:highlight w:val="none"/>
                    </w:rPr>
                  </w:pPr>
                  <w:r>
                    <w:rPr>
                      <w:rStyle w:val="51"/>
                      <w:rFonts w:hint="eastAsia"/>
                      <w:color w:val="auto"/>
                      <w:kern w:val="0"/>
                      <w:szCs w:val="20"/>
                      <w:highlight w:val="none"/>
                    </w:rPr>
                    <w:t>本项目为输电线路工程，</w:t>
                  </w:r>
                  <w:r>
                    <w:rPr>
                      <w:color w:val="auto"/>
                      <w:kern w:val="0"/>
                      <w:szCs w:val="21"/>
                      <w:highlight w:val="none"/>
                    </w:rPr>
                    <w:t>不涉及变电工程</w:t>
                  </w:r>
                </w:p>
              </w:tc>
              <w:tc>
                <w:tcPr>
                  <w:tcW w:w="650" w:type="dxa"/>
                  <w:vAlign w:val="center"/>
                </w:tcPr>
                <w:p w14:paraId="27D13C44">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7A751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jc w:val="center"/>
              </w:trPr>
              <w:tc>
                <w:tcPr>
                  <w:tcW w:w="239" w:type="pct"/>
                  <w:vMerge w:val="continue"/>
                  <w:vAlign w:val="center"/>
                </w:tcPr>
                <w:p w14:paraId="5CE41770">
                  <w:pPr>
                    <w:tabs>
                      <w:tab w:val="left" w:pos="4"/>
                    </w:tabs>
                    <w:snapToGrid w:val="0"/>
                    <w:jc w:val="center"/>
                    <w:rPr>
                      <w:rFonts w:hint="default" w:ascii="Times New Roman" w:hAnsi="Times New Roman" w:cs="Times New Roman"/>
                      <w:color w:val="auto"/>
                      <w:sz w:val="21"/>
                      <w:szCs w:val="21"/>
                      <w:highlight w:val="none"/>
                    </w:rPr>
                  </w:pPr>
                </w:p>
              </w:tc>
              <w:tc>
                <w:tcPr>
                  <w:tcW w:w="239" w:type="pct"/>
                  <w:vMerge w:val="restart"/>
                  <w:vAlign w:val="center"/>
                </w:tcPr>
                <w:p w14:paraId="3563FD4D">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电磁环境保护</w:t>
                  </w:r>
                </w:p>
              </w:tc>
              <w:tc>
                <w:tcPr>
                  <w:tcW w:w="2449" w:type="pct"/>
                  <w:vAlign w:val="center"/>
                </w:tcPr>
                <w:p w14:paraId="57F9561A">
                  <w:pPr>
                    <w:tabs>
                      <w:tab w:val="left" w:pos="4"/>
                    </w:tabs>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工程设计应对产生的工频电场、工频磁场、直流合成电场等电磁环境影响因子进行验算，采取相应防护措施，确保电磁环境影响满足国家标准要求。</w:t>
                  </w:r>
                </w:p>
              </w:tc>
              <w:tc>
                <w:tcPr>
                  <w:tcW w:w="1697" w:type="pct"/>
                  <w:vAlign w:val="center"/>
                </w:tcPr>
                <w:p w14:paraId="13690933">
                  <w:pPr>
                    <w:tabs>
                      <w:tab w:val="left" w:pos="4"/>
                    </w:tabs>
                    <w:snapToGrid w:val="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经类比监测评价，在落实环评提出环保措施的前提下，本项目建成投运后项目产生的电磁环境影响能够满足国家标准要求。</w:t>
                  </w:r>
                </w:p>
              </w:tc>
              <w:tc>
                <w:tcPr>
                  <w:tcW w:w="376" w:type="pct"/>
                  <w:vAlign w:val="center"/>
                </w:tcPr>
                <w:p w14:paraId="3F92B6A1">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380EF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239" w:type="pct"/>
                  <w:vMerge w:val="continue"/>
                  <w:vAlign w:val="center"/>
                </w:tcPr>
                <w:p w14:paraId="78AC0643">
                  <w:pPr>
                    <w:tabs>
                      <w:tab w:val="left" w:pos="4"/>
                    </w:tabs>
                    <w:snapToGrid w:val="0"/>
                    <w:jc w:val="center"/>
                    <w:rPr>
                      <w:rFonts w:hint="default" w:ascii="Times New Roman" w:hAnsi="Times New Roman" w:cs="Times New Roman"/>
                      <w:color w:val="auto"/>
                      <w:sz w:val="21"/>
                      <w:szCs w:val="21"/>
                      <w:highlight w:val="none"/>
                    </w:rPr>
                  </w:pPr>
                </w:p>
              </w:tc>
              <w:tc>
                <w:tcPr>
                  <w:tcW w:w="239" w:type="pct"/>
                  <w:vMerge w:val="continue"/>
                  <w:vAlign w:val="center"/>
                </w:tcPr>
                <w:p w14:paraId="7A793A0A">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17B47BA9">
                  <w:pPr>
                    <w:tabs>
                      <w:tab w:val="left" w:pos="4"/>
                    </w:tabs>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输电线路设计应因地制宜选择线路型式、架设高度、杆塔塔型、导线参数、相序布置等，减少电磁环境影响。</w:t>
                  </w:r>
                </w:p>
              </w:tc>
              <w:tc>
                <w:tcPr>
                  <w:tcW w:w="1697" w:type="pct"/>
                  <w:vAlign w:val="center"/>
                </w:tcPr>
                <w:p w14:paraId="01F8B6C6">
                  <w:pPr>
                    <w:tabs>
                      <w:tab w:val="left" w:pos="4"/>
                    </w:tabs>
                    <w:snapToGrid w:val="0"/>
                    <w:jc w:val="both"/>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本项目采用地下电缆敷设，</w:t>
                  </w:r>
                  <w:r>
                    <w:rPr>
                      <w:rFonts w:hint="default" w:ascii="Times New Roman" w:hAnsi="Times New Roman" w:cs="Times New Roman"/>
                      <w:color w:val="auto"/>
                      <w:sz w:val="21"/>
                      <w:szCs w:val="21"/>
                      <w:highlight w:val="none"/>
                    </w:rPr>
                    <w:t>在落实环评提出环保措施的前提下，</w:t>
                  </w:r>
                  <w:r>
                    <w:rPr>
                      <w:rFonts w:hint="eastAsia" w:cs="Times New Roman"/>
                      <w:color w:val="auto"/>
                      <w:sz w:val="21"/>
                      <w:szCs w:val="21"/>
                      <w:highlight w:val="none"/>
                      <w:lang w:val="en-US" w:eastAsia="zh-CN"/>
                    </w:rPr>
                    <w:t>沿线</w:t>
                  </w:r>
                  <w:r>
                    <w:rPr>
                      <w:rFonts w:hint="default" w:ascii="Times New Roman" w:hAnsi="Times New Roman" w:cs="Times New Roman"/>
                      <w:color w:val="auto"/>
                      <w:sz w:val="21"/>
                      <w:szCs w:val="21"/>
                      <w:highlight w:val="none"/>
                    </w:rPr>
                    <w:t>电磁环境影响能够满足国家标准要求。</w:t>
                  </w:r>
                </w:p>
              </w:tc>
              <w:tc>
                <w:tcPr>
                  <w:tcW w:w="376" w:type="pct"/>
                  <w:vAlign w:val="center"/>
                </w:tcPr>
                <w:p w14:paraId="3D887C22">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376D4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239" w:type="pct"/>
                  <w:vMerge w:val="continue"/>
                  <w:vAlign w:val="center"/>
                </w:tcPr>
                <w:p w14:paraId="307FDA65">
                  <w:pPr>
                    <w:tabs>
                      <w:tab w:val="left" w:pos="4"/>
                    </w:tabs>
                    <w:snapToGrid w:val="0"/>
                    <w:jc w:val="center"/>
                    <w:rPr>
                      <w:rFonts w:hint="default" w:ascii="Times New Roman" w:hAnsi="Times New Roman" w:cs="Times New Roman"/>
                      <w:color w:val="auto"/>
                      <w:sz w:val="21"/>
                      <w:szCs w:val="21"/>
                      <w:highlight w:val="none"/>
                    </w:rPr>
                  </w:pPr>
                </w:p>
              </w:tc>
              <w:tc>
                <w:tcPr>
                  <w:tcW w:w="239" w:type="pct"/>
                  <w:vMerge w:val="continue"/>
                  <w:vAlign w:val="center"/>
                </w:tcPr>
                <w:p w14:paraId="33EA137B">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35FA37C4">
                  <w:pPr>
                    <w:tabs>
                      <w:tab w:val="left" w:pos="4"/>
                    </w:tabs>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架空输电线路经过电磁环境敏感目标时，应采取避让或增加导线对地高度等措施，减少电磁环境影响。</w:t>
                  </w:r>
                </w:p>
              </w:tc>
              <w:tc>
                <w:tcPr>
                  <w:tcW w:w="1697" w:type="pct"/>
                  <w:vAlign w:val="center"/>
                </w:tcPr>
                <w:p w14:paraId="5B3A2B20">
                  <w:pPr>
                    <w:tabs>
                      <w:tab w:val="left" w:pos="4"/>
                    </w:tabs>
                    <w:snapToGrid w:val="0"/>
                    <w:jc w:val="both"/>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本项目采用地下电缆敷设，</w:t>
                  </w:r>
                  <w:r>
                    <w:rPr>
                      <w:rFonts w:hint="default" w:ascii="Times New Roman" w:hAnsi="Times New Roman" w:cs="Times New Roman"/>
                      <w:color w:val="auto"/>
                      <w:sz w:val="21"/>
                      <w:szCs w:val="21"/>
                      <w:highlight w:val="none"/>
                    </w:rPr>
                    <w:t>在落实环评提出环保措施的前提下，线路电磁环境影响能够满足国家标准要求。</w:t>
                  </w:r>
                </w:p>
              </w:tc>
              <w:tc>
                <w:tcPr>
                  <w:tcW w:w="376" w:type="pct"/>
                  <w:vAlign w:val="center"/>
                </w:tcPr>
                <w:p w14:paraId="61954B0E">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71795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 w:type="pct"/>
                  <w:vMerge w:val="continue"/>
                  <w:vAlign w:val="center"/>
                </w:tcPr>
                <w:p w14:paraId="77908FAF">
                  <w:pPr>
                    <w:tabs>
                      <w:tab w:val="left" w:pos="4"/>
                    </w:tabs>
                    <w:snapToGrid w:val="0"/>
                    <w:jc w:val="center"/>
                    <w:rPr>
                      <w:rFonts w:hint="default" w:ascii="Times New Roman" w:hAnsi="Times New Roman" w:cs="Times New Roman"/>
                      <w:color w:val="auto"/>
                      <w:sz w:val="21"/>
                      <w:szCs w:val="21"/>
                      <w:highlight w:val="none"/>
                    </w:rPr>
                  </w:pPr>
                </w:p>
              </w:tc>
              <w:tc>
                <w:tcPr>
                  <w:tcW w:w="239" w:type="pct"/>
                  <w:vMerge w:val="continue"/>
                  <w:vAlign w:val="center"/>
                </w:tcPr>
                <w:p w14:paraId="7FE51BC4">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13671D53">
                  <w:pPr>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新建城市电力线路在市中心地区、高层建筑群区、市区主干路、人口密集区、繁华街道等区域应采用地下电缆，减少电磁环境影响。</w:t>
                  </w:r>
                </w:p>
              </w:tc>
              <w:tc>
                <w:tcPr>
                  <w:tcW w:w="1697" w:type="pct"/>
                  <w:vAlign w:val="center"/>
                </w:tcPr>
                <w:p w14:paraId="75DCBB03">
                  <w:pPr>
                    <w:tabs>
                      <w:tab w:val="left" w:pos="4"/>
                    </w:tabs>
                    <w:snapToGrid w:val="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w:t>
                  </w:r>
                  <w:r>
                    <w:rPr>
                      <w:rFonts w:hint="eastAsia" w:cs="Times New Roman"/>
                      <w:color w:val="auto"/>
                      <w:sz w:val="21"/>
                      <w:szCs w:val="21"/>
                      <w:highlight w:val="none"/>
                      <w:lang w:val="en-US" w:eastAsia="zh-CN"/>
                    </w:rPr>
                    <w:t>主要采用地下电缆敷设，跳线架空段不新建线路。</w:t>
                  </w:r>
                  <w:r>
                    <w:rPr>
                      <w:rFonts w:hint="default" w:ascii="Times New Roman" w:hAnsi="Times New Roman" w:cs="Times New Roman"/>
                      <w:color w:val="auto"/>
                      <w:sz w:val="21"/>
                      <w:szCs w:val="21"/>
                      <w:highlight w:val="none"/>
                    </w:rPr>
                    <w:t>在落实环评提出环保措施的前提下，线路电磁环境影响能够满足国家标准要求。</w:t>
                  </w:r>
                </w:p>
              </w:tc>
              <w:tc>
                <w:tcPr>
                  <w:tcW w:w="376" w:type="pct"/>
                  <w:vAlign w:val="center"/>
                </w:tcPr>
                <w:p w14:paraId="2FFF5555">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8188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39" w:type="pct"/>
                  <w:vMerge w:val="continue"/>
                  <w:vAlign w:val="center"/>
                </w:tcPr>
                <w:p w14:paraId="584F496B">
                  <w:pPr>
                    <w:tabs>
                      <w:tab w:val="left" w:pos="4"/>
                    </w:tabs>
                    <w:snapToGrid w:val="0"/>
                    <w:jc w:val="center"/>
                    <w:rPr>
                      <w:rFonts w:hint="default" w:ascii="Times New Roman" w:hAnsi="Times New Roman" w:cs="Times New Roman"/>
                      <w:color w:val="auto"/>
                      <w:sz w:val="21"/>
                      <w:szCs w:val="21"/>
                      <w:highlight w:val="none"/>
                    </w:rPr>
                  </w:pPr>
                </w:p>
              </w:tc>
              <w:tc>
                <w:tcPr>
                  <w:tcW w:w="239" w:type="pct"/>
                  <w:vMerge w:val="continue"/>
                  <w:vAlign w:val="center"/>
                </w:tcPr>
                <w:p w14:paraId="74C05FEA">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132C903E">
                  <w:pPr>
                    <w:tabs>
                      <w:tab w:val="left" w:pos="4"/>
                    </w:tabs>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变电工程的布置设计应考虑进出线对周围电磁环境的影响。</w:t>
                  </w:r>
                </w:p>
              </w:tc>
              <w:tc>
                <w:tcPr>
                  <w:tcW w:w="2934" w:type="dxa"/>
                  <w:vAlign w:val="center"/>
                </w:tcPr>
                <w:p w14:paraId="2FA6544B">
                  <w:pPr>
                    <w:tabs>
                      <w:tab w:val="left" w:pos="4"/>
                    </w:tabs>
                    <w:snapToGrid w:val="0"/>
                    <w:jc w:val="both"/>
                    <w:rPr>
                      <w:rFonts w:hint="default" w:ascii="Times New Roman" w:hAnsi="Times New Roman" w:cs="Times New Roman"/>
                      <w:color w:val="auto"/>
                      <w:sz w:val="21"/>
                      <w:szCs w:val="21"/>
                      <w:highlight w:val="none"/>
                    </w:rPr>
                  </w:pPr>
                  <w:r>
                    <w:rPr>
                      <w:color w:val="auto"/>
                      <w:kern w:val="0"/>
                      <w:szCs w:val="21"/>
                      <w:highlight w:val="none"/>
                    </w:rPr>
                    <w:t>本项目</w:t>
                  </w:r>
                  <w:r>
                    <w:rPr>
                      <w:rFonts w:hint="eastAsia"/>
                      <w:color w:val="auto"/>
                      <w:kern w:val="0"/>
                      <w:szCs w:val="21"/>
                      <w:highlight w:val="none"/>
                    </w:rPr>
                    <w:t>不涉及变电站工程</w:t>
                  </w:r>
                  <w:r>
                    <w:rPr>
                      <w:color w:val="auto"/>
                      <w:kern w:val="0"/>
                      <w:szCs w:val="21"/>
                      <w:highlight w:val="none"/>
                    </w:rPr>
                    <w:t>。</w:t>
                  </w:r>
                </w:p>
              </w:tc>
              <w:tc>
                <w:tcPr>
                  <w:tcW w:w="650" w:type="dxa"/>
                  <w:vAlign w:val="center"/>
                </w:tcPr>
                <w:p w14:paraId="1AFC9CD0">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53ED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 w:type="pct"/>
                  <w:vMerge w:val="continue"/>
                  <w:vAlign w:val="center"/>
                </w:tcPr>
                <w:p w14:paraId="106712A3">
                  <w:pPr>
                    <w:tabs>
                      <w:tab w:val="left" w:pos="4"/>
                    </w:tabs>
                    <w:snapToGrid w:val="0"/>
                    <w:jc w:val="center"/>
                    <w:rPr>
                      <w:rFonts w:hint="default" w:ascii="Times New Roman" w:hAnsi="Times New Roman" w:cs="Times New Roman"/>
                      <w:color w:val="auto"/>
                      <w:sz w:val="21"/>
                      <w:szCs w:val="21"/>
                      <w:highlight w:val="none"/>
                    </w:rPr>
                  </w:pPr>
                </w:p>
              </w:tc>
              <w:tc>
                <w:tcPr>
                  <w:tcW w:w="239" w:type="pct"/>
                  <w:vMerge w:val="continue"/>
                  <w:vAlign w:val="center"/>
                </w:tcPr>
                <w:p w14:paraId="5D42A7B1">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61281F25">
                  <w:pPr>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330kV及以上电压等级的输电线路出现交叉跨越或并行时，应考虑其对电磁环境敏感目标的综合影响。</w:t>
                  </w:r>
                </w:p>
              </w:tc>
              <w:tc>
                <w:tcPr>
                  <w:tcW w:w="1697" w:type="pct"/>
                  <w:vAlign w:val="center"/>
                </w:tcPr>
                <w:p w14:paraId="5B3FB338">
                  <w:pPr>
                    <w:tabs>
                      <w:tab w:val="left" w:pos="4"/>
                    </w:tabs>
                    <w:snapToGrid w:val="0"/>
                    <w:jc w:val="both"/>
                    <w:rPr>
                      <w:rFonts w:hint="default" w:ascii="Times New Roman" w:hAnsi="Times New Roman" w:cs="Times New Roman"/>
                      <w:color w:val="auto"/>
                      <w:sz w:val="21"/>
                      <w:szCs w:val="21"/>
                      <w:highlight w:val="none"/>
                    </w:rPr>
                  </w:pPr>
                  <w:r>
                    <w:rPr>
                      <w:color w:val="auto"/>
                      <w:kern w:val="0"/>
                      <w:szCs w:val="21"/>
                      <w:highlight w:val="none"/>
                    </w:rPr>
                    <w:t>本项目</w:t>
                  </w:r>
                  <w:r>
                    <w:rPr>
                      <w:rFonts w:hint="default" w:ascii="Times New Roman" w:hAnsi="Times New Roman" w:cs="Times New Roman"/>
                      <w:color w:val="auto"/>
                      <w:sz w:val="21"/>
                      <w:szCs w:val="21"/>
                      <w:highlight w:val="none"/>
                    </w:rPr>
                    <w:t>新建输电线路电压等级为</w:t>
                  </w:r>
                  <w:r>
                    <w:rPr>
                      <w:rFonts w:hint="eastAsia" w:cs="Times New Roman"/>
                      <w:color w:val="auto"/>
                      <w:sz w:val="21"/>
                      <w:szCs w:val="21"/>
                      <w:highlight w:val="none"/>
                      <w:lang w:val="en-US" w:eastAsia="zh-CN"/>
                    </w:rPr>
                    <w:t>11</w:t>
                  </w:r>
                  <w:r>
                    <w:rPr>
                      <w:rFonts w:hint="default" w:ascii="Times New Roman" w:hAnsi="Times New Roman" w:cs="Times New Roman"/>
                      <w:color w:val="auto"/>
                      <w:sz w:val="21"/>
                      <w:szCs w:val="21"/>
                      <w:highlight w:val="none"/>
                    </w:rPr>
                    <w:t>0kV。</w:t>
                  </w:r>
                </w:p>
              </w:tc>
              <w:tc>
                <w:tcPr>
                  <w:tcW w:w="376" w:type="pct"/>
                  <w:vAlign w:val="center"/>
                </w:tcPr>
                <w:p w14:paraId="35CB50F3">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25136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239" w:type="pct"/>
                  <w:vMerge w:val="continue"/>
                  <w:vAlign w:val="center"/>
                </w:tcPr>
                <w:p w14:paraId="4EC1829C">
                  <w:pPr>
                    <w:tabs>
                      <w:tab w:val="left" w:pos="4"/>
                    </w:tabs>
                    <w:snapToGrid w:val="0"/>
                    <w:jc w:val="center"/>
                    <w:rPr>
                      <w:rFonts w:hint="default" w:ascii="Times New Roman" w:hAnsi="Times New Roman" w:cs="Times New Roman"/>
                      <w:color w:val="auto"/>
                      <w:sz w:val="21"/>
                      <w:szCs w:val="21"/>
                      <w:highlight w:val="none"/>
                    </w:rPr>
                  </w:pPr>
                </w:p>
              </w:tc>
              <w:tc>
                <w:tcPr>
                  <w:tcW w:w="239" w:type="pct"/>
                  <w:vMerge w:val="restart"/>
                  <w:vAlign w:val="center"/>
                </w:tcPr>
                <w:p w14:paraId="70BC7D5A">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声环境保护</w:t>
                  </w:r>
                </w:p>
              </w:tc>
              <w:tc>
                <w:tcPr>
                  <w:tcW w:w="2449" w:type="pct"/>
                  <w:vAlign w:val="center"/>
                </w:tcPr>
                <w:p w14:paraId="0A21C801">
                  <w:pPr>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变电工程噪声控制设计应首先从噪声源强上进行控制，选择低噪声设备；对于声源上无法根治的噪声，应采用隔声、吸声、消声、防振、减振等降噪措施，确保厂界排放噪声和周围声环境敏感目标分别满足</w:t>
                  </w:r>
                  <w:r>
                    <w:rPr>
                      <w:rFonts w:hint="eastAsia" w:cs="Times New Roman"/>
                      <w:color w:val="auto"/>
                      <w:sz w:val="21"/>
                      <w:szCs w:val="21"/>
                      <w:highlight w:val="none"/>
                      <w:lang w:eastAsia="zh-CN"/>
                    </w:rPr>
                    <w:t xml:space="preserve">GB </w:t>
                  </w:r>
                  <w:r>
                    <w:rPr>
                      <w:rFonts w:hint="default" w:ascii="Times New Roman" w:hAnsi="Times New Roman" w:cs="Times New Roman"/>
                      <w:color w:val="auto"/>
                      <w:sz w:val="21"/>
                      <w:szCs w:val="21"/>
                      <w:highlight w:val="none"/>
                    </w:rPr>
                    <w:t>12348和</w:t>
                  </w:r>
                  <w:r>
                    <w:rPr>
                      <w:rFonts w:hint="eastAsia" w:cs="Times New Roman"/>
                      <w:color w:val="auto"/>
                      <w:sz w:val="21"/>
                      <w:szCs w:val="21"/>
                      <w:highlight w:val="none"/>
                      <w:lang w:eastAsia="zh-CN"/>
                    </w:rPr>
                    <w:t xml:space="preserve">GB </w:t>
                  </w:r>
                  <w:r>
                    <w:rPr>
                      <w:rFonts w:hint="default" w:ascii="Times New Roman" w:hAnsi="Times New Roman" w:cs="Times New Roman"/>
                      <w:color w:val="auto"/>
                      <w:sz w:val="21"/>
                      <w:szCs w:val="21"/>
                      <w:highlight w:val="none"/>
                    </w:rPr>
                    <w:t>3096要求。</w:t>
                  </w:r>
                </w:p>
              </w:tc>
              <w:tc>
                <w:tcPr>
                  <w:tcW w:w="2934" w:type="dxa"/>
                  <w:vAlign w:val="center"/>
                </w:tcPr>
                <w:p w14:paraId="4D028DD4">
                  <w:pPr>
                    <w:tabs>
                      <w:tab w:val="left" w:pos="4"/>
                    </w:tabs>
                    <w:snapToGrid w:val="0"/>
                    <w:jc w:val="both"/>
                    <w:rPr>
                      <w:rFonts w:hint="default" w:ascii="Times New Roman" w:hAnsi="Times New Roman" w:cs="Times New Roman"/>
                      <w:color w:val="auto"/>
                      <w:sz w:val="21"/>
                      <w:szCs w:val="21"/>
                      <w:highlight w:val="none"/>
                    </w:rPr>
                  </w:pPr>
                  <w:r>
                    <w:rPr>
                      <w:color w:val="auto"/>
                      <w:kern w:val="0"/>
                      <w:szCs w:val="21"/>
                      <w:highlight w:val="none"/>
                    </w:rPr>
                    <w:t>本项目</w:t>
                  </w:r>
                  <w:r>
                    <w:rPr>
                      <w:rFonts w:hint="eastAsia"/>
                      <w:color w:val="auto"/>
                      <w:kern w:val="0"/>
                      <w:szCs w:val="21"/>
                      <w:highlight w:val="none"/>
                    </w:rPr>
                    <w:t>不涉及变电站工程</w:t>
                  </w:r>
                  <w:r>
                    <w:rPr>
                      <w:color w:val="auto"/>
                      <w:kern w:val="0"/>
                      <w:szCs w:val="21"/>
                      <w:highlight w:val="none"/>
                    </w:rPr>
                    <w:t>。</w:t>
                  </w:r>
                </w:p>
              </w:tc>
              <w:tc>
                <w:tcPr>
                  <w:tcW w:w="650" w:type="dxa"/>
                  <w:vAlign w:val="center"/>
                </w:tcPr>
                <w:p w14:paraId="7607D215">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17A72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 w:type="pct"/>
                  <w:vMerge w:val="continue"/>
                  <w:vAlign w:val="center"/>
                </w:tcPr>
                <w:p w14:paraId="7490DD50">
                  <w:pPr>
                    <w:tabs>
                      <w:tab w:val="left" w:pos="4"/>
                    </w:tabs>
                    <w:snapToGrid w:val="0"/>
                    <w:jc w:val="center"/>
                    <w:rPr>
                      <w:rFonts w:hint="default" w:ascii="Times New Roman" w:hAnsi="Times New Roman" w:cs="Times New Roman"/>
                      <w:color w:val="auto"/>
                      <w:sz w:val="21"/>
                      <w:szCs w:val="21"/>
                      <w:highlight w:val="none"/>
                    </w:rPr>
                  </w:pPr>
                </w:p>
              </w:tc>
              <w:tc>
                <w:tcPr>
                  <w:tcW w:w="239" w:type="pct"/>
                  <w:vMerge w:val="continue"/>
                  <w:vAlign w:val="center"/>
                </w:tcPr>
                <w:p w14:paraId="74874B22">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055A47F9">
                  <w:pPr>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户外变电工程总体布置应综合考虑声环境影响因素，合理规划，利用建筑物、地形等阻挡噪声传播，减少对声环境敏感目标的影响。</w:t>
                  </w:r>
                </w:p>
              </w:tc>
              <w:tc>
                <w:tcPr>
                  <w:tcW w:w="2934" w:type="dxa"/>
                  <w:vAlign w:val="center"/>
                </w:tcPr>
                <w:p w14:paraId="7387CF3B">
                  <w:pPr>
                    <w:tabs>
                      <w:tab w:val="left" w:pos="4"/>
                    </w:tabs>
                    <w:snapToGrid w:val="0"/>
                    <w:jc w:val="both"/>
                    <w:rPr>
                      <w:rFonts w:hint="default" w:ascii="Times New Roman" w:hAnsi="Times New Roman" w:cs="Times New Roman"/>
                      <w:color w:val="auto"/>
                      <w:sz w:val="21"/>
                      <w:szCs w:val="21"/>
                      <w:highlight w:val="none"/>
                    </w:rPr>
                  </w:pPr>
                  <w:r>
                    <w:rPr>
                      <w:color w:val="auto"/>
                      <w:kern w:val="0"/>
                      <w:szCs w:val="21"/>
                      <w:highlight w:val="none"/>
                    </w:rPr>
                    <w:t>本项目</w:t>
                  </w:r>
                  <w:r>
                    <w:rPr>
                      <w:rFonts w:hint="eastAsia"/>
                      <w:color w:val="auto"/>
                      <w:kern w:val="0"/>
                      <w:szCs w:val="21"/>
                      <w:highlight w:val="none"/>
                    </w:rPr>
                    <w:t>不涉及变电站工程</w:t>
                  </w:r>
                  <w:r>
                    <w:rPr>
                      <w:color w:val="auto"/>
                      <w:kern w:val="0"/>
                      <w:szCs w:val="21"/>
                      <w:highlight w:val="none"/>
                    </w:rPr>
                    <w:t>。</w:t>
                  </w:r>
                </w:p>
              </w:tc>
              <w:tc>
                <w:tcPr>
                  <w:tcW w:w="650" w:type="dxa"/>
                  <w:vAlign w:val="center"/>
                </w:tcPr>
                <w:p w14:paraId="3C25F7FB">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2532A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39" w:type="pct"/>
                  <w:vMerge w:val="continue"/>
                  <w:vAlign w:val="center"/>
                </w:tcPr>
                <w:p w14:paraId="01B2FED3">
                  <w:pPr>
                    <w:tabs>
                      <w:tab w:val="left" w:pos="4"/>
                    </w:tabs>
                    <w:snapToGrid w:val="0"/>
                    <w:jc w:val="center"/>
                    <w:rPr>
                      <w:rFonts w:hint="default" w:ascii="Times New Roman" w:hAnsi="Times New Roman" w:cs="Times New Roman"/>
                      <w:color w:val="auto"/>
                      <w:sz w:val="21"/>
                      <w:szCs w:val="21"/>
                      <w:highlight w:val="none"/>
                    </w:rPr>
                  </w:pPr>
                </w:p>
              </w:tc>
              <w:tc>
                <w:tcPr>
                  <w:tcW w:w="239" w:type="pct"/>
                  <w:vMerge w:val="continue"/>
                  <w:vAlign w:val="center"/>
                </w:tcPr>
                <w:p w14:paraId="4AE69A13">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0BB1B84E">
                  <w:pPr>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户外变电工程在设计过程中应进行平面布置优化，将主变压器、换流变压器、高压电抗器等主要声源设备布置在站址中央区域或远离站外声环境敏感目标侧的区域。</w:t>
                  </w:r>
                </w:p>
              </w:tc>
              <w:tc>
                <w:tcPr>
                  <w:tcW w:w="2934" w:type="dxa"/>
                  <w:vAlign w:val="center"/>
                </w:tcPr>
                <w:p w14:paraId="3BF833F2">
                  <w:pPr>
                    <w:tabs>
                      <w:tab w:val="left" w:pos="4"/>
                    </w:tabs>
                    <w:snapToGrid w:val="0"/>
                    <w:jc w:val="both"/>
                    <w:rPr>
                      <w:rFonts w:hint="eastAsia" w:ascii="Times New Roman" w:hAnsi="Times New Roman" w:eastAsia="宋体" w:cs="Times New Roman"/>
                      <w:color w:val="auto"/>
                      <w:sz w:val="21"/>
                      <w:szCs w:val="21"/>
                      <w:highlight w:val="none"/>
                      <w:lang w:eastAsia="zh-CN"/>
                    </w:rPr>
                  </w:pPr>
                  <w:r>
                    <w:rPr>
                      <w:color w:val="auto"/>
                      <w:kern w:val="0"/>
                      <w:szCs w:val="21"/>
                      <w:highlight w:val="none"/>
                    </w:rPr>
                    <w:t>本项目</w:t>
                  </w:r>
                  <w:r>
                    <w:rPr>
                      <w:rFonts w:hint="eastAsia"/>
                      <w:color w:val="auto"/>
                      <w:kern w:val="0"/>
                      <w:szCs w:val="21"/>
                      <w:highlight w:val="none"/>
                    </w:rPr>
                    <w:t>不涉及变电站工程</w:t>
                  </w:r>
                  <w:r>
                    <w:rPr>
                      <w:color w:val="auto"/>
                      <w:kern w:val="0"/>
                      <w:szCs w:val="21"/>
                      <w:highlight w:val="none"/>
                    </w:rPr>
                    <w:t>。</w:t>
                  </w:r>
                </w:p>
              </w:tc>
              <w:tc>
                <w:tcPr>
                  <w:tcW w:w="650" w:type="dxa"/>
                  <w:vAlign w:val="center"/>
                </w:tcPr>
                <w:p w14:paraId="3BED99D0">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14D5A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 w:type="pct"/>
                  <w:vMerge w:val="continue"/>
                  <w:vAlign w:val="center"/>
                </w:tcPr>
                <w:p w14:paraId="22E40160">
                  <w:pPr>
                    <w:tabs>
                      <w:tab w:val="left" w:pos="4"/>
                    </w:tabs>
                    <w:snapToGrid w:val="0"/>
                    <w:jc w:val="center"/>
                    <w:rPr>
                      <w:rFonts w:hint="default" w:ascii="Times New Roman" w:hAnsi="Times New Roman" w:cs="Times New Roman"/>
                      <w:color w:val="auto"/>
                      <w:sz w:val="21"/>
                      <w:szCs w:val="21"/>
                      <w:highlight w:val="none"/>
                    </w:rPr>
                  </w:pPr>
                </w:p>
              </w:tc>
              <w:tc>
                <w:tcPr>
                  <w:tcW w:w="239" w:type="pct"/>
                  <w:vMerge w:val="continue"/>
                  <w:vAlign w:val="center"/>
                </w:tcPr>
                <w:p w14:paraId="20157DC5">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7386A363">
                  <w:pPr>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变电工程位于1类或周围噪声敏感建筑物较多的2类声环境功能区时，建设单位应严格控制主变压器、换流变压器、高压电抗器等主要噪声源的噪声水平，并在满足</w:t>
                  </w:r>
                  <w:r>
                    <w:rPr>
                      <w:rFonts w:hint="eastAsia" w:cs="Times New Roman"/>
                      <w:color w:val="auto"/>
                      <w:sz w:val="21"/>
                      <w:szCs w:val="21"/>
                      <w:highlight w:val="none"/>
                      <w:lang w:eastAsia="zh-CN"/>
                    </w:rPr>
                    <w:t xml:space="preserve">GB </w:t>
                  </w:r>
                  <w:r>
                    <w:rPr>
                      <w:rFonts w:hint="default" w:ascii="Times New Roman" w:hAnsi="Times New Roman" w:cs="Times New Roman"/>
                      <w:color w:val="auto"/>
                      <w:sz w:val="21"/>
                      <w:szCs w:val="21"/>
                      <w:highlight w:val="none"/>
                    </w:rPr>
                    <w:t>12348的基础上保留适当裕度。</w:t>
                  </w:r>
                </w:p>
              </w:tc>
              <w:tc>
                <w:tcPr>
                  <w:tcW w:w="2934" w:type="dxa"/>
                  <w:vAlign w:val="center"/>
                </w:tcPr>
                <w:p w14:paraId="0F370F58">
                  <w:pPr>
                    <w:tabs>
                      <w:tab w:val="left" w:pos="4"/>
                    </w:tabs>
                    <w:snapToGrid w:val="0"/>
                    <w:jc w:val="both"/>
                    <w:rPr>
                      <w:rFonts w:hint="default" w:ascii="Times New Roman" w:hAnsi="Times New Roman" w:cs="Times New Roman"/>
                      <w:color w:val="auto"/>
                      <w:sz w:val="21"/>
                      <w:szCs w:val="21"/>
                      <w:highlight w:val="none"/>
                    </w:rPr>
                  </w:pPr>
                  <w:r>
                    <w:rPr>
                      <w:color w:val="auto"/>
                      <w:kern w:val="0"/>
                      <w:szCs w:val="21"/>
                      <w:highlight w:val="none"/>
                    </w:rPr>
                    <w:t>本项目</w:t>
                  </w:r>
                  <w:r>
                    <w:rPr>
                      <w:rFonts w:hint="eastAsia"/>
                      <w:color w:val="auto"/>
                      <w:kern w:val="0"/>
                      <w:szCs w:val="21"/>
                      <w:highlight w:val="none"/>
                    </w:rPr>
                    <w:t>不涉及变电站工程</w:t>
                  </w:r>
                  <w:r>
                    <w:rPr>
                      <w:color w:val="auto"/>
                      <w:kern w:val="0"/>
                      <w:szCs w:val="21"/>
                      <w:highlight w:val="none"/>
                    </w:rPr>
                    <w:t>。</w:t>
                  </w:r>
                </w:p>
              </w:tc>
              <w:tc>
                <w:tcPr>
                  <w:tcW w:w="650" w:type="dxa"/>
                  <w:vAlign w:val="center"/>
                </w:tcPr>
                <w:p w14:paraId="4E54588B">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B8D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239" w:type="pct"/>
                  <w:vMerge w:val="continue"/>
                  <w:vAlign w:val="center"/>
                </w:tcPr>
                <w:p w14:paraId="6FFFCCCB">
                  <w:pPr>
                    <w:tabs>
                      <w:tab w:val="left" w:pos="4"/>
                    </w:tabs>
                    <w:snapToGrid w:val="0"/>
                    <w:jc w:val="center"/>
                    <w:rPr>
                      <w:rFonts w:hint="default" w:ascii="Times New Roman" w:hAnsi="Times New Roman" w:cs="Times New Roman"/>
                      <w:color w:val="auto"/>
                      <w:sz w:val="21"/>
                      <w:szCs w:val="21"/>
                      <w:highlight w:val="none"/>
                    </w:rPr>
                  </w:pPr>
                </w:p>
              </w:tc>
              <w:tc>
                <w:tcPr>
                  <w:tcW w:w="239" w:type="pct"/>
                  <w:vMerge w:val="continue"/>
                  <w:vAlign w:val="center"/>
                </w:tcPr>
                <w:p w14:paraId="09DF2B06">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5119FD34">
                  <w:pPr>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位于城市规划区1类声环境功能区的变电站应采用全户内布置方式。位于城市规划区其他声环境功能区的变电工程，可采取户内、半户内等环境影响较小的布置型式。</w:t>
                  </w:r>
                </w:p>
              </w:tc>
              <w:tc>
                <w:tcPr>
                  <w:tcW w:w="2934" w:type="dxa"/>
                  <w:vAlign w:val="center"/>
                </w:tcPr>
                <w:p w14:paraId="4FBFFEFF">
                  <w:pPr>
                    <w:tabs>
                      <w:tab w:val="left" w:pos="4"/>
                    </w:tabs>
                    <w:snapToGrid w:val="0"/>
                    <w:jc w:val="both"/>
                    <w:rPr>
                      <w:rFonts w:hint="default" w:ascii="Times New Roman" w:hAnsi="Times New Roman" w:eastAsia="宋体" w:cs="Times New Roman"/>
                      <w:color w:val="auto"/>
                      <w:sz w:val="21"/>
                      <w:szCs w:val="21"/>
                      <w:highlight w:val="none"/>
                      <w:lang w:val="en-US" w:eastAsia="zh-CN"/>
                    </w:rPr>
                  </w:pPr>
                  <w:r>
                    <w:rPr>
                      <w:color w:val="auto"/>
                      <w:kern w:val="0"/>
                      <w:szCs w:val="21"/>
                      <w:highlight w:val="none"/>
                    </w:rPr>
                    <w:t>本项目</w:t>
                  </w:r>
                  <w:r>
                    <w:rPr>
                      <w:rFonts w:hint="eastAsia"/>
                      <w:color w:val="auto"/>
                      <w:kern w:val="0"/>
                      <w:szCs w:val="21"/>
                      <w:highlight w:val="none"/>
                    </w:rPr>
                    <w:t>不涉及变电站工程</w:t>
                  </w:r>
                  <w:r>
                    <w:rPr>
                      <w:color w:val="auto"/>
                      <w:kern w:val="0"/>
                      <w:szCs w:val="21"/>
                      <w:highlight w:val="none"/>
                    </w:rPr>
                    <w:t>。</w:t>
                  </w:r>
                </w:p>
              </w:tc>
              <w:tc>
                <w:tcPr>
                  <w:tcW w:w="650" w:type="dxa"/>
                  <w:vAlign w:val="center"/>
                </w:tcPr>
                <w:p w14:paraId="7AD45D9E">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7E451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239" w:type="pct"/>
                  <w:vMerge w:val="continue"/>
                  <w:vAlign w:val="center"/>
                </w:tcPr>
                <w:p w14:paraId="3D646094">
                  <w:pPr>
                    <w:tabs>
                      <w:tab w:val="left" w:pos="4"/>
                    </w:tabs>
                    <w:snapToGrid w:val="0"/>
                    <w:jc w:val="center"/>
                    <w:rPr>
                      <w:rFonts w:hint="default" w:ascii="Times New Roman" w:hAnsi="Times New Roman" w:cs="Times New Roman"/>
                      <w:color w:val="auto"/>
                      <w:sz w:val="21"/>
                      <w:szCs w:val="21"/>
                      <w:highlight w:val="none"/>
                    </w:rPr>
                  </w:pPr>
                </w:p>
              </w:tc>
              <w:tc>
                <w:tcPr>
                  <w:tcW w:w="239" w:type="pct"/>
                  <w:vMerge w:val="continue"/>
                  <w:vAlign w:val="center"/>
                </w:tcPr>
                <w:p w14:paraId="35AAC181">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72CE4E19">
                  <w:pPr>
                    <w:tabs>
                      <w:tab w:val="left" w:pos="4"/>
                    </w:tabs>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变电工程应采取降低低频噪声影响的防治措施，以减少噪声扰民。</w:t>
                  </w:r>
                </w:p>
              </w:tc>
              <w:tc>
                <w:tcPr>
                  <w:tcW w:w="2934" w:type="dxa"/>
                  <w:vAlign w:val="center"/>
                </w:tcPr>
                <w:p w14:paraId="6F9705EC">
                  <w:pPr>
                    <w:tabs>
                      <w:tab w:val="left" w:pos="4"/>
                    </w:tabs>
                    <w:snapToGrid w:val="0"/>
                    <w:jc w:val="both"/>
                    <w:rPr>
                      <w:rFonts w:hint="default" w:ascii="Times New Roman" w:hAnsi="Times New Roman" w:cs="Times New Roman"/>
                      <w:color w:val="auto"/>
                      <w:sz w:val="21"/>
                      <w:szCs w:val="21"/>
                      <w:highlight w:val="none"/>
                    </w:rPr>
                  </w:pPr>
                  <w:r>
                    <w:rPr>
                      <w:color w:val="auto"/>
                      <w:kern w:val="0"/>
                      <w:szCs w:val="21"/>
                      <w:highlight w:val="none"/>
                    </w:rPr>
                    <w:t>本项目</w:t>
                  </w:r>
                  <w:r>
                    <w:rPr>
                      <w:rFonts w:hint="eastAsia"/>
                      <w:color w:val="auto"/>
                      <w:kern w:val="0"/>
                      <w:szCs w:val="21"/>
                      <w:highlight w:val="none"/>
                    </w:rPr>
                    <w:t>不涉及变电站工程</w:t>
                  </w:r>
                  <w:r>
                    <w:rPr>
                      <w:color w:val="auto"/>
                      <w:kern w:val="0"/>
                      <w:szCs w:val="21"/>
                      <w:highlight w:val="none"/>
                    </w:rPr>
                    <w:t>。</w:t>
                  </w:r>
                </w:p>
              </w:tc>
              <w:tc>
                <w:tcPr>
                  <w:tcW w:w="650" w:type="dxa"/>
                  <w:vAlign w:val="center"/>
                </w:tcPr>
                <w:p w14:paraId="0FCB1DDB">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F77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239" w:type="pct"/>
                  <w:vMerge w:val="continue"/>
                  <w:vAlign w:val="center"/>
                </w:tcPr>
                <w:p w14:paraId="3C60281D">
                  <w:pPr>
                    <w:tabs>
                      <w:tab w:val="left" w:pos="4"/>
                    </w:tabs>
                    <w:snapToGrid w:val="0"/>
                    <w:jc w:val="center"/>
                    <w:rPr>
                      <w:rFonts w:hint="default" w:ascii="Times New Roman" w:hAnsi="Times New Roman" w:cs="Times New Roman"/>
                      <w:color w:val="auto"/>
                      <w:sz w:val="21"/>
                      <w:szCs w:val="21"/>
                      <w:highlight w:val="none"/>
                    </w:rPr>
                  </w:pPr>
                </w:p>
              </w:tc>
              <w:tc>
                <w:tcPr>
                  <w:tcW w:w="239" w:type="pct"/>
                  <w:vMerge w:val="restart"/>
                  <w:vAlign w:val="center"/>
                </w:tcPr>
                <w:p w14:paraId="4FEFA219">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生态环境保护</w:t>
                  </w:r>
                </w:p>
              </w:tc>
              <w:tc>
                <w:tcPr>
                  <w:tcW w:w="2449" w:type="pct"/>
                  <w:vAlign w:val="center"/>
                </w:tcPr>
                <w:p w14:paraId="372A7073">
                  <w:pPr>
                    <w:tabs>
                      <w:tab w:val="left" w:pos="4"/>
                    </w:tabs>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输变电建设项目在设计过程中应按照避让、减缓、恢复的次序提出生态影响防护与恢复的措施。</w:t>
                  </w:r>
                </w:p>
              </w:tc>
              <w:tc>
                <w:tcPr>
                  <w:tcW w:w="1697" w:type="pct"/>
                  <w:vAlign w:val="center"/>
                </w:tcPr>
                <w:p w14:paraId="7228BDAC">
                  <w:pPr>
                    <w:tabs>
                      <w:tab w:val="left" w:pos="4"/>
                    </w:tabs>
                    <w:snapToGrid w:val="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本评价已按照避让、减缓、恢复的次序提出生态影响防护与恢复的措施。</w:t>
                  </w:r>
                </w:p>
              </w:tc>
              <w:tc>
                <w:tcPr>
                  <w:tcW w:w="376" w:type="pct"/>
                  <w:vAlign w:val="center"/>
                </w:tcPr>
                <w:p w14:paraId="20015DC8">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D27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239" w:type="pct"/>
                  <w:vMerge w:val="continue"/>
                  <w:vAlign w:val="center"/>
                </w:tcPr>
                <w:p w14:paraId="56FD5231">
                  <w:pPr>
                    <w:tabs>
                      <w:tab w:val="left" w:pos="4"/>
                    </w:tabs>
                    <w:snapToGrid w:val="0"/>
                    <w:jc w:val="center"/>
                    <w:rPr>
                      <w:rFonts w:hint="default" w:ascii="Times New Roman" w:hAnsi="Times New Roman" w:cs="Times New Roman"/>
                      <w:color w:val="auto"/>
                      <w:sz w:val="21"/>
                      <w:szCs w:val="21"/>
                      <w:highlight w:val="none"/>
                    </w:rPr>
                  </w:pPr>
                </w:p>
              </w:tc>
              <w:tc>
                <w:tcPr>
                  <w:tcW w:w="239" w:type="pct"/>
                  <w:vMerge w:val="continue"/>
                  <w:vAlign w:val="center"/>
                </w:tcPr>
                <w:p w14:paraId="4F4709BA">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734CFBEF">
                  <w:pPr>
                    <w:tabs>
                      <w:tab w:val="left" w:pos="4"/>
                    </w:tabs>
                    <w:snapToGrid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输电线路应因地制宜合理选择塔基基础，在山丘区应采用全方位长短腿与不等高基础设计，以减少土石方开挖。输电线路无法避让集中林区时，应采取控制导线高度设计，以减少林木砍伐，保护生态环境</w:t>
                  </w:r>
                </w:p>
              </w:tc>
              <w:tc>
                <w:tcPr>
                  <w:tcW w:w="1697" w:type="pct"/>
                  <w:vAlign w:val="center"/>
                </w:tcPr>
                <w:p w14:paraId="6B69F815">
                  <w:pPr>
                    <w:tabs>
                      <w:tab w:val="left" w:pos="4"/>
                    </w:tabs>
                    <w:snapToGrid w:val="0"/>
                    <w:jc w:val="both"/>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本项目采用地下电缆敷设，不涉及林区</w:t>
                  </w:r>
                  <w:r>
                    <w:rPr>
                      <w:rFonts w:hint="default" w:ascii="Times New Roman" w:hAnsi="Times New Roman" w:cs="Times New Roman"/>
                      <w:color w:val="auto"/>
                      <w:sz w:val="21"/>
                      <w:szCs w:val="21"/>
                      <w:highlight w:val="none"/>
                    </w:rPr>
                    <w:t>。</w:t>
                  </w:r>
                </w:p>
              </w:tc>
              <w:tc>
                <w:tcPr>
                  <w:tcW w:w="376" w:type="pct"/>
                  <w:vAlign w:val="center"/>
                </w:tcPr>
                <w:p w14:paraId="5B5F2BFF">
                  <w:pPr>
                    <w:tabs>
                      <w:tab w:val="left" w:pos="4"/>
                    </w:tabs>
                    <w:snapToGrid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76D70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9" w:type="pct"/>
                  <w:vMerge w:val="continue"/>
                  <w:vAlign w:val="center"/>
                </w:tcPr>
                <w:p w14:paraId="29B9C802">
                  <w:pPr>
                    <w:tabs>
                      <w:tab w:val="left" w:pos="4"/>
                    </w:tabs>
                    <w:snapToGrid w:val="0"/>
                    <w:jc w:val="center"/>
                    <w:rPr>
                      <w:rFonts w:hint="default" w:ascii="Times New Roman" w:hAnsi="Times New Roman" w:cs="Times New Roman"/>
                      <w:color w:val="auto"/>
                      <w:sz w:val="21"/>
                      <w:szCs w:val="21"/>
                      <w:highlight w:val="none"/>
                    </w:rPr>
                  </w:pPr>
                </w:p>
              </w:tc>
              <w:tc>
                <w:tcPr>
                  <w:tcW w:w="239" w:type="pct"/>
                  <w:vMerge w:val="continue"/>
                  <w:vAlign w:val="center"/>
                </w:tcPr>
                <w:p w14:paraId="573AB264">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01DA92FA">
                  <w:pPr>
                    <w:tabs>
                      <w:tab w:val="left" w:pos="4"/>
                    </w:tabs>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输变电建设项目临时占地，应因地制宜进行土地功能恢复设计。</w:t>
                  </w:r>
                </w:p>
              </w:tc>
              <w:tc>
                <w:tcPr>
                  <w:tcW w:w="1697" w:type="pct"/>
                  <w:vAlign w:val="center"/>
                </w:tcPr>
                <w:p w14:paraId="394542D5">
                  <w:pPr>
                    <w:tabs>
                      <w:tab w:val="left" w:pos="4"/>
                    </w:tabs>
                    <w:snapToGrid w:val="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工程施工结束后拟采取对临时用地进行生态恢复等生态恢复措施。</w:t>
                  </w:r>
                </w:p>
              </w:tc>
              <w:tc>
                <w:tcPr>
                  <w:tcW w:w="376" w:type="pct"/>
                  <w:vAlign w:val="center"/>
                </w:tcPr>
                <w:p w14:paraId="3121C032">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50063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239" w:type="pct"/>
                  <w:vMerge w:val="continue"/>
                  <w:vAlign w:val="center"/>
                </w:tcPr>
                <w:p w14:paraId="334DE0B8">
                  <w:pPr>
                    <w:tabs>
                      <w:tab w:val="left" w:pos="4"/>
                    </w:tabs>
                    <w:snapToGrid w:val="0"/>
                    <w:jc w:val="center"/>
                    <w:rPr>
                      <w:rFonts w:hint="default" w:ascii="Times New Roman" w:hAnsi="Times New Roman" w:cs="Times New Roman"/>
                      <w:color w:val="auto"/>
                      <w:sz w:val="21"/>
                      <w:szCs w:val="21"/>
                      <w:highlight w:val="none"/>
                    </w:rPr>
                  </w:pPr>
                </w:p>
              </w:tc>
              <w:tc>
                <w:tcPr>
                  <w:tcW w:w="239" w:type="pct"/>
                  <w:vMerge w:val="continue"/>
                  <w:vAlign w:val="center"/>
                </w:tcPr>
                <w:p w14:paraId="4DB2C6D6">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5E82F155">
                  <w:pPr>
                    <w:tabs>
                      <w:tab w:val="left" w:pos="4"/>
                    </w:tabs>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进入自然保护区的输电线路，应根据生态现状调查结果，制定相应的保护方案。塔基定位应避让珍稀濒危物种、保护植物和保护动物的栖息地，根据保护对象的特性设计相应的生态环境保护措施、设施等。</w:t>
                  </w:r>
                </w:p>
              </w:tc>
              <w:tc>
                <w:tcPr>
                  <w:tcW w:w="1697" w:type="pct"/>
                  <w:vAlign w:val="center"/>
                </w:tcPr>
                <w:p w14:paraId="607131CE">
                  <w:pPr>
                    <w:tabs>
                      <w:tab w:val="left" w:pos="4"/>
                    </w:tabs>
                    <w:snapToGrid w:val="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本项目不涉及自然保护区。</w:t>
                  </w:r>
                </w:p>
              </w:tc>
              <w:tc>
                <w:tcPr>
                  <w:tcW w:w="376" w:type="pct"/>
                  <w:vAlign w:val="center"/>
                </w:tcPr>
                <w:p w14:paraId="71908333">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AEC8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239" w:type="pct"/>
                  <w:vMerge w:val="continue"/>
                  <w:vAlign w:val="center"/>
                </w:tcPr>
                <w:p w14:paraId="18FD9464">
                  <w:pPr>
                    <w:tabs>
                      <w:tab w:val="left" w:pos="4"/>
                    </w:tabs>
                    <w:snapToGrid w:val="0"/>
                    <w:jc w:val="center"/>
                    <w:rPr>
                      <w:rFonts w:hint="default" w:ascii="Times New Roman" w:hAnsi="Times New Roman" w:cs="Times New Roman"/>
                      <w:color w:val="auto"/>
                      <w:sz w:val="21"/>
                      <w:szCs w:val="21"/>
                      <w:highlight w:val="none"/>
                    </w:rPr>
                  </w:pPr>
                </w:p>
              </w:tc>
              <w:tc>
                <w:tcPr>
                  <w:tcW w:w="239" w:type="pct"/>
                  <w:vMerge w:val="restart"/>
                  <w:vAlign w:val="center"/>
                </w:tcPr>
                <w:p w14:paraId="53328928">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水环境保护</w:t>
                  </w:r>
                </w:p>
              </w:tc>
              <w:tc>
                <w:tcPr>
                  <w:tcW w:w="2449" w:type="pct"/>
                  <w:vAlign w:val="center"/>
                </w:tcPr>
                <w:p w14:paraId="54C4B2A6">
                  <w:pPr>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变电工程应采取节水措施，加强水的重复利用，减少废（污）水排放。雨水和生活污水应采取分流制。</w:t>
                  </w:r>
                </w:p>
              </w:tc>
              <w:tc>
                <w:tcPr>
                  <w:tcW w:w="2934" w:type="dxa"/>
                  <w:vAlign w:val="center"/>
                </w:tcPr>
                <w:p w14:paraId="19067275">
                  <w:pPr>
                    <w:tabs>
                      <w:tab w:val="left" w:pos="4"/>
                    </w:tabs>
                    <w:snapToGrid w:val="0"/>
                    <w:jc w:val="both"/>
                    <w:rPr>
                      <w:rFonts w:hint="default" w:ascii="Times New Roman" w:hAnsi="Times New Roman" w:cs="Times New Roman"/>
                      <w:color w:val="auto"/>
                      <w:sz w:val="21"/>
                      <w:szCs w:val="21"/>
                      <w:highlight w:val="none"/>
                    </w:rPr>
                  </w:pPr>
                  <w:r>
                    <w:rPr>
                      <w:color w:val="auto"/>
                      <w:kern w:val="0"/>
                      <w:szCs w:val="21"/>
                      <w:highlight w:val="none"/>
                    </w:rPr>
                    <w:t>本项目</w:t>
                  </w:r>
                  <w:r>
                    <w:rPr>
                      <w:rFonts w:hint="eastAsia"/>
                      <w:color w:val="auto"/>
                      <w:kern w:val="0"/>
                      <w:szCs w:val="21"/>
                      <w:highlight w:val="none"/>
                    </w:rPr>
                    <w:t>不涉及变电站工程</w:t>
                  </w:r>
                  <w:r>
                    <w:rPr>
                      <w:color w:val="auto"/>
                      <w:kern w:val="0"/>
                      <w:szCs w:val="21"/>
                      <w:highlight w:val="none"/>
                    </w:rPr>
                    <w:t>。</w:t>
                  </w:r>
                </w:p>
              </w:tc>
              <w:tc>
                <w:tcPr>
                  <w:tcW w:w="650" w:type="dxa"/>
                  <w:vAlign w:val="center"/>
                </w:tcPr>
                <w:p w14:paraId="2761B86A">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0F5C4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239" w:type="pct"/>
                  <w:vMerge w:val="continue"/>
                  <w:vAlign w:val="center"/>
                </w:tcPr>
                <w:p w14:paraId="0DF8EF0E">
                  <w:pPr>
                    <w:tabs>
                      <w:tab w:val="left" w:pos="4"/>
                    </w:tabs>
                    <w:snapToGrid w:val="0"/>
                    <w:jc w:val="center"/>
                    <w:rPr>
                      <w:rFonts w:hint="default" w:ascii="Times New Roman" w:hAnsi="Times New Roman" w:cs="Times New Roman"/>
                      <w:color w:val="auto"/>
                      <w:sz w:val="21"/>
                      <w:szCs w:val="21"/>
                      <w:highlight w:val="none"/>
                    </w:rPr>
                  </w:pPr>
                </w:p>
              </w:tc>
              <w:tc>
                <w:tcPr>
                  <w:tcW w:w="239" w:type="pct"/>
                  <w:vMerge w:val="continue"/>
                  <w:vAlign w:val="center"/>
                </w:tcPr>
                <w:p w14:paraId="21F7A376">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3446A243">
                  <w:pPr>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变电工程站内产生的生活污水宜考虑处理后纳入城市污水管网；不具备纳入城市污水管网条件的变电工程，应根据站内生活污水产生情况设置生活污水处理装置（化粪池、一体化污水处理装置、回用水池、蒸发池等），生活污水经处理后回收利用、定期清理或外排，外排时应严格执行相应的国家和地方水污染物排放标准相关要求。</w:t>
                  </w:r>
                </w:p>
              </w:tc>
              <w:tc>
                <w:tcPr>
                  <w:tcW w:w="2934" w:type="dxa"/>
                  <w:vAlign w:val="center"/>
                </w:tcPr>
                <w:p w14:paraId="14CBA741">
                  <w:pPr>
                    <w:tabs>
                      <w:tab w:val="left" w:pos="4"/>
                    </w:tabs>
                    <w:snapToGrid w:val="0"/>
                    <w:jc w:val="both"/>
                    <w:rPr>
                      <w:rFonts w:hint="default" w:ascii="Times New Roman" w:hAnsi="Times New Roman" w:cs="Times New Roman"/>
                      <w:color w:val="auto"/>
                      <w:sz w:val="21"/>
                      <w:szCs w:val="21"/>
                      <w:highlight w:val="none"/>
                    </w:rPr>
                  </w:pPr>
                  <w:r>
                    <w:rPr>
                      <w:color w:val="auto"/>
                      <w:kern w:val="0"/>
                      <w:szCs w:val="21"/>
                      <w:highlight w:val="none"/>
                    </w:rPr>
                    <w:t>本项目</w:t>
                  </w:r>
                  <w:r>
                    <w:rPr>
                      <w:rFonts w:hint="eastAsia"/>
                      <w:color w:val="auto"/>
                      <w:kern w:val="0"/>
                      <w:szCs w:val="21"/>
                      <w:highlight w:val="none"/>
                    </w:rPr>
                    <w:t>不涉及变电站工程</w:t>
                  </w:r>
                  <w:r>
                    <w:rPr>
                      <w:color w:val="auto"/>
                      <w:kern w:val="0"/>
                      <w:szCs w:val="21"/>
                      <w:highlight w:val="none"/>
                    </w:rPr>
                    <w:t>。</w:t>
                  </w:r>
                </w:p>
              </w:tc>
              <w:tc>
                <w:tcPr>
                  <w:tcW w:w="650" w:type="dxa"/>
                  <w:vAlign w:val="center"/>
                </w:tcPr>
                <w:p w14:paraId="63DC23F4">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7B978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39" w:type="pct"/>
                  <w:vMerge w:val="continue"/>
                  <w:vAlign w:val="center"/>
                </w:tcPr>
                <w:p w14:paraId="616E0473">
                  <w:pPr>
                    <w:tabs>
                      <w:tab w:val="left" w:pos="4"/>
                    </w:tabs>
                    <w:snapToGrid w:val="0"/>
                    <w:jc w:val="center"/>
                    <w:rPr>
                      <w:rFonts w:hint="default" w:ascii="Times New Roman" w:hAnsi="Times New Roman" w:cs="Times New Roman"/>
                      <w:color w:val="auto"/>
                      <w:sz w:val="21"/>
                      <w:szCs w:val="21"/>
                      <w:highlight w:val="none"/>
                    </w:rPr>
                  </w:pPr>
                </w:p>
              </w:tc>
              <w:tc>
                <w:tcPr>
                  <w:tcW w:w="239" w:type="pct"/>
                  <w:vMerge w:val="continue"/>
                  <w:vAlign w:val="center"/>
                </w:tcPr>
                <w:p w14:paraId="54ADA557">
                  <w:pPr>
                    <w:tabs>
                      <w:tab w:val="left" w:pos="4"/>
                    </w:tabs>
                    <w:snapToGrid w:val="0"/>
                    <w:jc w:val="center"/>
                    <w:rPr>
                      <w:rFonts w:hint="default" w:ascii="Times New Roman" w:hAnsi="Times New Roman" w:cs="Times New Roman"/>
                      <w:color w:val="auto"/>
                      <w:sz w:val="21"/>
                      <w:szCs w:val="21"/>
                      <w:highlight w:val="none"/>
                    </w:rPr>
                  </w:pPr>
                </w:p>
              </w:tc>
              <w:tc>
                <w:tcPr>
                  <w:tcW w:w="2449" w:type="pct"/>
                  <w:vAlign w:val="center"/>
                </w:tcPr>
                <w:p w14:paraId="24ACD439">
                  <w:pPr>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换流站循环冷却水处理应选择对环境污染小的阻垢剂、缓蚀剂等，循环冷却水外排时应严格执行相应的国家和地方水污染物排放标准相关要求。</w:t>
                  </w:r>
                </w:p>
              </w:tc>
              <w:tc>
                <w:tcPr>
                  <w:tcW w:w="1697" w:type="pct"/>
                  <w:vAlign w:val="center"/>
                </w:tcPr>
                <w:p w14:paraId="15564B7A">
                  <w:pPr>
                    <w:tabs>
                      <w:tab w:val="left" w:pos="4"/>
                    </w:tabs>
                    <w:snapToGrid w:val="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本项目不涉及换流站。</w:t>
                  </w:r>
                </w:p>
              </w:tc>
              <w:tc>
                <w:tcPr>
                  <w:tcW w:w="376" w:type="pct"/>
                  <w:vAlign w:val="center"/>
                </w:tcPr>
                <w:p w14:paraId="2A9A46B6">
                  <w:pPr>
                    <w:tabs>
                      <w:tab w:val="left" w:pos="4"/>
                    </w:tabs>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bl>
          <w:p w14:paraId="0F954E85">
            <w:pPr>
              <w:autoSpaceDN w:val="0"/>
              <w:snapToGrid w:val="0"/>
              <w:spacing w:line="360" w:lineRule="auto"/>
              <w:ind w:firstLine="480" w:firstLineChars="200"/>
              <w:rPr>
                <w:color w:val="auto"/>
                <w:sz w:val="24"/>
                <w:highlight w:val="none"/>
              </w:rPr>
            </w:pPr>
            <w:r>
              <w:rPr>
                <w:color w:val="auto"/>
                <w:sz w:val="24"/>
                <w:highlight w:val="none"/>
              </w:rPr>
              <w:t>经对比分析，本项目在选址选线以及设计阶段所采取的环境保护措施与《输变电建设项目环境保护技术要求》（</w:t>
            </w:r>
            <w:r>
              <w:rPr>
                <w:rFonts w:hint="eastAsia"/>
                <w:color w:val="auto"/>
                <w:sz w:val="24"/>
                <w:highlight w:val="none"/>
                <w:lang w:eastAsia="zh-CN"/>
              </w:rPr>
              <w:t xml:space="preserve">HJ </w:t>
            </w:r>
            <w:r>
              <w:rPr>
                <w:color w:val="auto"/>
                <w:sz w:val="24"/>
                <w:highlight w:val="none"/>
              </w:rPr>
              <w:t>1113-2020）中相关技术要求相符。</w:t>
            </w:r>
          </w:p>
          <w:p w14:paraId="756B4501">
            <w:pPr>
              <w:autoSpaceDN w:val="0"/>
              <w:snapToGrid w:val="0"/>
              <w:spacing w:line="360" w:lineRule="auto"/>
              <w:ind w:firstLine="480" w:firstLineChars="200"/>
              <w:rPr>
                <w:rFonts w:hint="eastAsia"/>
                <w:color w:val="auto"/>
                <w:sz w:val="24"/>
                <w:highlight w:val="none"/>
              </w:rPr>
            </w:pPr>
          </w:p>
          <w:p w14:paraId="685650F3">
            <w:pPr>
              <w:autoSpaceDN w:val="0"/>
              <w:snapToGrid w:val="0"/>
              <w:spacing w:line="360" w:lineRule="auto"/>
              <w:ind w:firstLine="480" w:firstLineChars="200"/>
              <w:rPr>
                <w:rFonts w:hint="eastAsia"/>
                <w:color w:val="auto"/>
                <w:sz w:val="24"/>
                <w:highlight w:val="none"/>
              </w:rPr>
            </w:pPr>
          </w:p>
        </w:tc>
      </w:tr>
    </w:tbl>
    <w:p w14:paraId="69CE4653">
      <w:pPr>
        <w:spacing w:line="360" w:lineRule="auto"/>
        <w:outlineLvl w:val="0"/>
        <w:rPr>
          <w:rFonts w:eastAsia="黑体"/>
          <w:color w:val="auto"/>
          <w:sz w:val="30"/>
          <w:highlight w:val="none"/>
        </w:rPr>
        <w:sectPr>
          <w:footerReference r:id="rId7" w:type="default"/>
          <w:pgSz w:w="11906" w:h="16838"/>
          <w:pgMar w:top="1361" w:right="1247" w:bottom="1361" w:left="1247" w:header="851" w:footer="1077" w:gutter="0"/>
          <w:pgBorders>
            <w:top w:val="none" w:sz="0" w:space="0"/>
            <w:left w:val="none" w:sz="0" w:space="0"/>
            <w:bottom w:val="none" w:sz="0" w:space="0"/>
            <w:right w:val="none" w:sz="0" w:space="0"/>
          </w:pgBorders>
          <w:pgNumType w:start="1"/>
          <w:cols w:space="720" w:num="1"/>
          <w:docGrid w:linePitch="312" w:charSpace="0"/>
        </w:sectPr>
      </w:pPr>
    </w:p>
    <w:p w14:paraId="213956DB">
      <w:pPr>
        <w:pStyle w:val="39"/>
        <w:jc w:val="center"/>
        <w:outlineLvl w:val="0"/>
        <w:rPr>
          <w:rFonts w:ascii="Times New Roman" w:hAnsi="Times New Roman" w:eastAsia="黑体"/>
          <w:snapToGrid w:val="0"/>
          <w:color w:val="auto"/>
          <w:sz w:val="30"/>
          <w:szCs w:val="30"/>
          <w:highlight w:val="none"/>
        </w:rPr>
      </w:pPr>
      <w:bookmarkStart w:id="13" w:name="_Toc19387"/>
      <w:bookmarkStart w:id="14" w:name="_Toc70507848"/>
      <w:bookmarkStart w:id="15" w:name="_Toc79488351"/>
      <w:r>
        <w:rPr>
          <w:rFonts w:ascii="Times New Roman" w:hAnsi="Times New Roman" w:eastAsia="黑体"/>
          <w:snapToGrid w:val="0"/>
          <w:color w:val="auto"/>
          <w:sz w:val="30"/>
          <w:szCs w:val="30"/>
          <w:highlight w:val="none"/>
        </w:rPr>
        <w:t>二、建设内容</w:t>
      </w:r>
      <w:bookmarkEnd w:id="13"/>
      <w:bookmarkEnd w:id="14"/>
      <w:bookmarkEnd w:id="15"/>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944"/>
      </w:tblGrid>
      <w:tr w14:paraId="27C9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 w:type="pct"/>
            <w:vAlign w:val="center"/>
          </w:tcPr>
          <w:p w14:paraId="2FC5D5FE">
            <w:pPr>
              <w:spacing w:before="120" w:beforeLines="50"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地理位置</w:t>
            </w:r>
          </w:p>
        </w:tc>
        <w:tc>
          <w:tcPr>
            <w:tcW w:w="4764" w:type="pct"/>
            <w:vAlign w:val="center"/>
          </w:tcPr>
          <w:p w14:paraId="53AF4139">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本项目位于广西壮族自治区</w:t>
            </w:r>
            <w:r>
              <w:rPr>
                <w:rFonts w:hint="eastAsia" w:cs="Times New Roman"/>
                <w:color w:val="auto"/>
                <w:sz w:val="24"/>
                <w:highlight w:val="none"/>
                <w:lang w:eastAsia="zh-CN"/>
              </w:rPr>
              <w:t>柳州市</w:t>
            </w:r>
            <w:r>
              <w:rPr>
                <w:rFonts w:hint="eastAsia" w:cs="Times New Roman"/>
                <w:color w:val="auto"/>
                <w:sz w:val="24"/>
                <w:highlight w:val="none"/>
                <w:lang w:val="en-US" w:eastAsia="zh-CN"/>
              </w:rPr>
              <w:t>柳北区</w:t>
            </w:r>
            <w:r>
              <w:rPr>
                <w:rFonts w:hint="default" w:ascii="Times New Roman" w:hAnsi="Times New Roman" w:cs="Times New Roman"/>
                <w:color w:val="auto"/>
                <w:sz w:val="24"/>
                <w:highlight w:val="none"/>
              </w:rPr>
              <w:t>。本项目地理位置见附图1。</w:t>
            </w:r>
          </w:p>
          <w:p w14:paraId="38163C0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kern w:val="2"/>
                <w:sz w:val="24"/>
                <w:szCs w:val="24"/>
                <w:highlight w:val="none"/>
                <w:lang w:val="en-US" w:eastAsia="zh-CN" w:bidi="ar-SA"/>
              </w:rPr>
              <w:t>（1）</w:t>
            </w:r>
            <w:r>
              <w:rPr>
                <w:rFonts w:hint="default" w:ascii="Times New Roman" w:hAnsi="Times New Roman" w:cs="Times New Roman"/>
                <w:color w:val="auto"/>
                <w:sz w:val="24"/>
                <w:highlight w:val="none"/>
              </w:rPr>
              <w:t>白沙变T接茅洲～柳北110kV线路工程</w:t>
            </w:r>
          </w:p>
          <w:p w14:paraId="38DA3FAB">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线路起自110</w:t>
            </w:r>
            <w:r>
              <w:rPr>
                <w:rFonts w:hint="eastAsia" w:cs="Times New Roman"/>
                <w:color w:val="auto"/>
                <w:sz w:val="24"/>
                <w:highlight w:val="none"/>
                <w:lang w:eastAsia="zh-CN"/>
              </w:rPr>
              <w:t>kV</w:t>
            </w:r>
            <w:r>
              <w:rPr>
                <w:rFonts w:hint="default" w:ascii="Times New Roman" w:hAnsi="Times New Roman" w:cs="Times New Roman"/>
                <w:color w:val="auto"/>
                <w:sz w:val="24"/>
                <w:highlight w:val="none"/>
              </w:rPr>
              <w:t>白沙变，讫于110kV柳黄北茅线#18塔</w:t>
            </w:r>
            <w:r>
              <w:rPr>
                <w:rFonts w:hint="eastAsia" w:cs="Times New Roman"/>
                <w:color w:val="auto"/>
                <w:sz w:val="24"/>
                <w:highlight w:val="none"/>
                <w:lang w:eastAsia="zh-CN"/>
              </w:rPr>
              <w:t>。</w:t>
            </w:r>
            <w:r>
              <w:rPr>
                <w:rFonts w:hint="eastAsia" w:cs="Times New Roman"/>
                <w:color w:val="auto"/>
                <w:sz w:val="24"/>
                <w:highlight w:val="none"/>
                <w:lang w:val="en-US" w:eastAsia="zh-CN"/>
              </w:rPr>
              <w:t>线路</w:t>
            </w:r>
            <w:r>
              <w:rPr>
                <w:rFonts w:hint="default" w:ascii="Times New Roman" w:hAnsi="Times New Roman" w:cs="Times New Roman"/>
                <w:color w:val="auto"/>
                <w:sz w:val="24"/>
                <w:highlight w:val="none"/>
                <w:lang w:val="en-US" w:eastAsia="zh-CN"/>
              </w:rPr>
              <w:t>位于</w:t>
            </w:r>
            <w:r>
              <w:rPr>
                <w:rFonts w:hint="eastAsia" w:cs="Times New Roman"/>
                <w:color w:val="auto"/>
                <w:sz w:val="24"/>
                <w:highlight w:val="none"/>
                <w:lang w:eastAsia="zh-CN"/>
              </w:rPr>
              <w:t>柳州市</w:t>
            </w:r>
            <w:r>
              <w:rPr>
                <w:rFonts w:hint="eastAsia" w:cs="Times New Roman"/>
                <w:color w:val="auto"/>
                <w:sz w:val="24"/>
                <w:highlight w:val="none"/>
                <w:lang w:val="en-US" w:eastAsia="zh-CN"/>
              </w:rPr>
              <w:t>柳北区境</w:t>
            </w:r>
            <w:r>
              <w:rPr>
                <w:rFonts w:hint="default" w:ascii="Times New Roman" w:hAnsi="Times New Roman" w:cs="Times New Roman"/>
                <w:color w:val="auto"/>
                <w:sz w:val="24"/>
                <w:highlight w:val="none"/>
              </w:rPr>
              <w:t>内。</w:t>
            </w:r>
          </w:p>
          <w:p w14:paraId="1C24ABC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cs="Times New Roman"/>
                <w:color w:val="auto"/>
                <w:sz w:val="24"/>
                <w:highlight w:val="none"/>
              </w:rPr>
            </w:pPr>
            <w:r>
              <w:rPr>
                <w:rFonts w:hint="default" w:ascii="Times New Roman" w:hAnsi="Times New Roman" w:eastAsia="宋体" w:cs="Times New Roman"/>
                <w:color w:val="auto"/>
                <w:kern w:val="2"/>
                <w:sz w:val="24"/>
                <w:szCs w:val="24"/>
                <w:highlight w:val="none"/>
                <w:lang w:val="en-US" w:eastAsia="zh-CN" w:bidi="ar-SA"/>
              </w:rPr>
              <w:t>（2）</w:t>
            </w:r>
            <w:r>
              <w:rPr>
                <w:rFonts w:hint="default" w:ascii="Times New Roman" w:hAnsi="Times New Roman" w:cs="Times New Roman"/>
                <w:color w:val="auto"/>
                <w:sz w:val="24"/>
                <w:highlight w:val="none"/>
              </w:rPr>
              <w:t>调整黄村变接线方式</w:t>
            </w:r>
          </w:p>
          <w:p w14:paraId="7BE90848">
            <w:pPr>
              <w:spacing w:line="360" w:lineRule="auto"/>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rPr>
              <w:t>在110kV河北变电站内调整黄村站T接点的位置，</w:t>
            </w:r>
            <w:r>
              <w:rPr>
                <w:rFonts w:hint="eastAsia" w:cs="Times New Roman"/>
                <w:color w:val="auto"/>
                <w:sz w:val="24"/>
                <w:highlight w:val="none"/>
                <w:lang w:val="en-US" w:eastAsia="zh-CN"/>
              </w:rPr>
              <w:t>位于柳州市柳北区境内。</w:t>
            </w:r>
          </w:p>
        </w:tc>
      </w:tr>
      <w:tr w14:paraId="0A78D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7" w:hRule="atLeast"/>
          <w:jc w:val="center"/>
        </w:trPr>
        <w:tc>
          <w:tcPr>
            <w:tcW w:w="235" w:type="pct"/>
            <w:vAlign w:val="center"/>
          </w:tcPr>
          <w:p w14:paraId="7059B98F">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项目组成及规模</w:t>
            </w:r>
          </w:p>
        </w:tc>
        <w:tc>
          <w:tcPr>
            <w:tcW w:w="4764" w:type="pct"/>
            <w:vAlign w:val="center"/>
          </w:tcPr>
          <w:p w14:paraId="2D9C8253">
            <w:pPr>
              <w:autoSpaceDN w:val="0"/>
              <w:spacing w:line="360" w:lineRule="auto"/>
              <w:ind w:right="-21" w:rightChars="-1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1.项目组成</w:t>
            </w:r>
          </w:p>
          <w:p w14:paraId="684068B7">
            <w:pPr>
              <w:keepNext w:val="0"/>
              <w:keepLines w:val="0"/>
              <w:pageBreakBefore w:val="0"/>
              <w:widowControl w:val="0"/>
              <w:kinsoku/>
              <w:wordWrap/>
              <w:overflowPunct/>
              <w:topLinePunct w:val="0"/>
              <w:autoSpaceDE/>
              <w:autoSpaceDN w:val="0"/>
              <w:bidi w:val="0"/>
              <w:adjustRightInd w:val="0"/>
              <w:snapToGrid/>
              <w:spacing w:line="360" w:lineRule="auto"/>
              <w:ind w:firstLine="480" w:firstLineChars="200"/>
              <w:textAlignment w:val="auto"/>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根据</w:t>
            </w:r>
            <w:r>
              <w:rPr>
                <w:rFonts w:hint="eastAsia" w:cs="Times New Roman"/>
                <w:bCs/>
                <w:color w:val="auto"/>
                <w:sz w:val="24"/>
                <w:szCs w:val="24"/>
                <w:highlight w:val="none"/>
                <w:lang w:eastAsia="zh-CN"/>
              </w:rPr>
              <w:t>《</w:t>
            </w:r>
            <w:r>
              <w:rPr>
                <w:rFonts w:hint="default" w:ascii="Times New Roman" w:hAnsi="Times New Roman" w:cs="Times New Roman"/>
                <w:bCs/>
                <w:color w:val="auto"/>
                <w:sz w:val="24"/>
                <w:szCs w:val="24"/>
                <w:highlight w:val="none"/>
              </w:rPr>
              <w:t>关于白沙变T接茅洲～柳北110千伏线路工程项目核准的批复</w:t>
            </w:r>
            <w:r>
              <w:rPr>
                <w:rFonts w:hint="eastAsia" w:cs="Times New Roman"/>
                <w:bCs/>
                <w:color w:val="auto"/>
                <w:sz w:val="24"/>
                <w:szCs w:val="24"/>
                <w:highlight w:val="none"/>
                <w:lang w:eastAsia="zh-CN"/>
              </w:rPr>
              <w:t>》（</w:t>
            </w:r>
            <w:r>
              <w:rPr>
                <w:rFonts w:hint="default" w:ascii="Times New Roman" w:hAnsi="Times New Roman" w:cs="Times New Roman"/>
                <w:bCs/>
                <w:color w:val="auto"/>
                <w:sz w:val="24"/>
                <w:szCs w:val="24"/>
                <w:highlight w:val="none"/>
              </w:rPr>
              <w:t>柳审批投资核〔2026〕9号</w:t>
            </w:r>
            <w:r>
              <w:rPr>
                <w:rFonts w:hint="eastAsia" w:ascii="Times New Roman" w:hAnsi="Times New Roman" w:cs="Times New Roman"/>
                <w:bCs/>
                <w:color w:val="auto"/>
                <w:sz w:val="24"/>
                <w:szCs w:val="24"/>
                <w:highlight w:val="none"/>
                <w:lang w:eastAsia="zh-CN"/>
              </w:rPr>
              <w:t>）</w:t>
            </w:r>
            <w:r>
              <w:rPr>
                <w:rFonts w:hint="eastAsia" w:ascii="Times New Roman" w:hAnsi="Times New Roman" w:cs="Times New Roman"/>
                <w:bCs/>
                <w:color w:val="auto"/>
                <w:sz w:val="24"/>
                <w:szCs w:val="24"/>
                <w:highlight w:val="none"/>
                <w:lang w:val="en-US" w:eastAsia="zh-CN"/>
              </w:rPr>
              <w:t>及《白沙变T接茅洲~柳北110kV线路工程初步设计说明书》</w:t>
            </w:r>
            <w:r>
              <w:rPr>
                <w:rFonts w:hint="eastAsia" w:cs="Times New Roman"/>
                <w:bCs/>
                <w:color w:val="auto"/>
                <w:sz w:val="24"/>
                <w:szCs w:val="24"/>
                <w:highlight w:val="none"/>
                <w:lang w:eastAsia="zh-CN"/>
              </w:rPr>
              <w:t>，</w:t>
            </w:r>
            <w:r>
              <w:rPr>
                <w:rFonts w:hint="default" w:ascii="Times New Roman" w:hAnsi="Times New Roman" w:cs="Times New Roman"/>
                <w:bCs/>
                <w:color w:val="auto"/>
                <w:sz w:val="24"/>
                <w:szCs w:val="24"/>
                <w:highlight w:val="none"/>
              </w:rPr>
              <w:t>本项目组成包括：①</w:t>
            </w:r>
            <w:r>
              <w:rPr>
                <w:rFonts w:hint="default" w:ascii="Times New Roman" w:hAnsi="Times New Roman" w:cs="Times New Roman"/>
                <w:color w:val="auto"/>
                <w:sz w:val="24"/>
                <w:szCs w:val="24"/>
                <w:highlight w:val="none"/>
              </w:rPr>
              <w:t>白沙变T接茅洲～柳北110kV线路工程</w:t>
            </w:r>
            <w:r>
              <w:rPr>
                <w:rFonts w:hint="default" w:ascii="Times New Roman" w:hAnsi="Times New Roman" w:cs="Times New Roman"/>
                <w:bCs/>
                <w:color w:val="auto"/>
                <w:sz w:val="24"/>
                <w:szCs w:val="24"/>
                <w:highlight w:val="none"/>
              </w:rPr>
              <w:t>；②</w:t>
            </w:r>
            <w:r>
              <w:rPr>
                <w:rFonts w:hint="default" w:ascii="Times New Roman" w:hAnsi="Times New Roman" w:cs="Times New Roman"/>
                <w:color w:val="auto"/>
                <w:sz w:val="24"/>
                <w:szCs w:val="24"/>
                <w:highlight w:val="none"/>
              </w:rPr>
              <w:t>调整黄村变接线方式</w:t>
            </w:r>
            <w:r>
              <w:rPr>
                <w:rFonts w:hint="default" w:ascii="Times New Roman" w:hAnsi="Times New Roman" w:cs="Times New Roman"/>
                <w:bCs/>
                <w:color w:val="auto"/>
                <w:sz w:val="24"/>
                <w:szCs w:val="24"/>
                <w:highlight w:val="none"/>
              </w:rPr>
              <w:t>。</w:t>
            </w:r>
            <w:r>
              <w:rPr>
                <w:rFonts w:hint="default" w:ascii="Times New Roman" w:hAnsi="Times New Roman" w:cs="Times New Roman"/>
                <w:color w:val="auto"/>
                <w:sz w:val="24"/>
                <w:szCs w:val="24"/>
                <w:highlight w:val="none"/>
                <w:lang w:bidi="ar"/>
              </w:rPr>
              <w:t>工程</w:t>
            </w:r>
            <w:r>
              <w:rPr>
                <w:rFonts w:hint="eastAsia" w:cs="Times New Roman"/>
                <w:color w:val="auto"/>
                <w:sz w:val="24"/>
                <w:szCs w:val="24"/>
                <w:highlight w:val="none"/>
                <w:lang w:val="en-US" w:eastAsia="zh-CN" w:bidi="ar"/>
              </w:rPr>
              <w:t>具体</w:t>
            </w:r>
            <w:r>
              <w:rPr>
                <w:rFonts w:hint="default" w:ascii="Times New Roman" w:hAnsi="Times New Roman" w:cs="Times New Roman"/>
                <w:color w:val="auto"/>
                <w:sz w:val="24"/>
                <w:szCs w:val="24"/>
                <w:highlight w:val="none"/>
                <w:lang w:bidi="ar"/>
              </w:rPr>
              <w:t>建设内容见表2-1。</w:t>
            </w:r>
          </w:p>
          <w:p w14:paraId="57337597">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 xml:space="preserve">  建设内容一览表</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
              <w:gridCol w:w="300"/>
              <w:gridCol w:w="127"/>
              <w:gridCol w:w="1062"/>
              <w:gridCol w:w="6795"/>
            </w:tblGrid>
            <w:tr w14:paraId="3EEBE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4" w:type="pct"/>
                  <w:gridSpan w:val="4"/>
                  <w:vAlign w:val="center"/>
                </w:tcPr>
                <w:p w14:paraId="6C3309B4">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 xml:space="preserve">工 </w:t>
                  </w:r>
                  <w:r>
                    <w:rPr>
                      <w:rFonts w:hint="default" w:ascii="Times New Roman" w:hAnsi="Times New Roman" w:cs="Times New Roman"/>
                      <w:b/>
                      <w:color w:val="auto"/>
                      <w:kern w:val="0"/>
                      <w:sz w:val="21"/>
                      <w:szCs w:val="21"/>
                      <w:highlight w:val="none"/>
                      <w:lang w:val="en-US" w:eastAsia="zh-CN" w:bidi="ar"/>
                    </w:rPr>
                    <w:t xml:space="preserve"> </w:t>
                  </w:r>
                  <w:r>
                    <w:rPr>
                      <w:rFonts w:hint="default" w:ascii="Times New Roman" w:hAnsi="Times New Roman" w:cs="Times New Roman"/>
                      <w:b/>
                      <w:color w:val="auto"/>
                      <w:kern w:val="0"/>
                      <w:sz w:val="21"/>
                      <w:szCs w:val="21"/>
                      <w:highlight w:val="none"/>
                      <w:lang w:bidi="ar"/>
                    </w:rPr>
                    <w:t>程</w:t>
                  </w:r>
                </w:p>
              </w:tc>
              <w:tc>
                <w:tcPr>
                  <w:tcW w:w="3905" w:type="pct"/>
                  <w:vAlign w:val="center"/>
                </w:tcPr>
                <w:p w14:paraId="7D083526">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建设内容</w:t>
                  </w:r>
                </w:p>
              </w:tc>
            </w:tr>
            <w:tr w14:paraId="36DDC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8" w:type="pct"/>
                  <w:vMerge w:val="restart"/>
                  <w:vAlign w:val="center"/>
                </w:tcPr>
                <w:p w14:paraId="7C46ABF0">
                  <w:pPr>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主体工程</w:t>
                  </w:r>
                </w:p>
              </w:tc>
              <w:tc>
                <w:tcPr>
                  <w:tcW w:w="835" w:type="pct"/>
                  <w:gridSpan w:val="3"/>
                  <w:vAlign w:val="center"/>
                </w:tcPr>
                <w:p w14:paraId="3E3F04C8">
                  <w:pPr>
                    <w:jc w:val="center"/>
                    <w:rPr>
                      <w:rFonts w:hint="default" w:ascii="Times New Roman" w:hAnsi="Times New Roman" w:cs="Times New Roman"/>
                      <w:b/>
                      <w:bCs/>
                      <w:color w:val="auto"/>
                      <w:kern w:val="0"/>
                      <w:sz w:val="21"/>
                      <w:szCs w:val="21"/>
                      <w:highlight w:val="none"/>
                      <w:lang w:bidi="ar"/>
                    </w:rPr>
                  </w:pPr>
                  <w:r>
                    <w:rPr>
                      <w:rFonts w:hint="default" w:ascii="Times New Roman" w:hAnsi="Times New Roman" w:cs="Times New Roman"/>
                      <w:b/>
                      <w:bCs/>
                      <w:color w:val="auto"/>
                      <w:kern w:val="0"/>
                      <w:sz w:val="21"/>
                      <w:szCs w:val="21"/>
                      <w:highlight w:val="none"/>
                      <w:lang w:bidi="ar"/>
                    </w:rPr>
                    <w:t>白沙站T接茅洲~柳北110千伏线路工程</w:t>
                  </w:r>
                </w:p>
              </w:tc>
              <w:tc>
                <w:tcPr>
                  <w:tcW w:w="3905" w:type="pct"/>
                  <w:vAlign w:val="center"/>
                </w:tcPr>
                <w:p w14:paraId="39A00FD4">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ascii="Times New Roman" w:hAnsi="Times New Roman" w:eastAsia="宋体" w:cs="Times New Roman"/>
                      <w:color w:val="auto"/>
                      <w:kern w:val="0"/>
                      <w:sz w:val="21"/>
                      <w:szCs w:val="21"/>
                      <w:highlight w:val="none"/>
                      <w:lang w:eastAsia="zh-CN" w:bidi="ar"/>
                    </w:rPr>
                  </w:pPr>
                  <w:r>
                    <w:rPr>
                      <w:rFonts w:hint="default" w:ascii="Times New Roman" w:hAnsi="Times New Roman" w:cs="Times New Roman"/>
                      <w:color w:val="auto"/>
                      <w:kern w:val="0"/>
                      <w:sz w:val="21"/>
                      <w:szCs w:val="21"/>
                      <w:highlight w:val="none"/>
                      <w:lang w:bidi="ar"/>
                    </w:rPr>
                    <w:t>线路起自110</w:t>
                  </w:r>
                  <w:r>
                    <w:rPr>
                      <w:rFonts w:hint="eastAsia" w:cs="Times New Roman"/>
                      <w:color w:val="auto"/>
                      <w:kern w:val="0"/>
                      <w:sz w:val="21"/>
                      <w:szCs w:val="21"/>
                      <w:highlight w:val="none"/>
                      <w:lang w:eastAsia="zh-CN" w:bidi="ar"/>
                    </w:rPr>
                    <w:t>kV</w:t>
                  </w:r>
                  <w:r>
                    <w:rPr>
                      <w:rFonts w:hint="default" w:ascii="Times New Roman" w:hAnsi="Times New Roman" w:cs="Times New Roman"/>
                      <w:color w:val="auto"/>
                      <w:kern w:val="0"/>
                      <w:sz w:val="21"/>
                      <w:szCs w:val="21"/>
                      <w:highlight w:val="none"/>
                      <w:lang w:bidi="ar"/>
                    </w:rPr>
                    <w:t>白沙</w:t>
                  </w:r>
                  <w:r>
                    <w:rPr>
                      <w:rFonts w:hint="eastAsia" w:cs="Times New Roman"/>
                      <w:color w:val="auto"/>
                      <w:kern w:val="0"/>
                      <w:sz w:val="21"/>
                      <w:szCs w:val="21"/>
                      <w:highlight w:val="none"/>
                      <w:lang w:val="en-US" w:eastAsia="zh-CN" w:bidi="ar"/>
                    </w:rPr>
                    <w:t>变电站</w:t>
                  </w:r>
                  <w:r>
                    <w:rPr>
                      <w:rFonts w:hint="default" w:ascii="Times New Roman" w:hAnsi="Times New Roman" w:cs="Times New Roman"/>
                      <w:color w:val="auto"/>
                      <w:kern w:val="0"/>
                      <w:sz w:val="21"/>
                      <w:szCs w:val="21"/>
                      <w:highlight w:val="none"/>
                      <w:lang w:bidi="ar"/>
                    </w:rPr>
                    <w:t>，终至110kV柳</w:t>
                  </w:r>
                  <w:r>
                    <w:rPr>
                      <w:rFonts w:hint="default" w:ascii="Times New Roman" w:hAnsi="Times New Roman" w:cs="Times New Roman"/>
                      <w:color w:val="auto"/>
                      <w:sz w:val="21"/>
                      <w:szCs w:val="21"/>
                      <w:highlight w:val="none"/>
                    </w:rPr>
                    <w:t>黄北茅线#18塔，电缆线路路径长约2.5</w:t>
                  </w:r>
                  <w:r>
                    <w:rPr>
                      <w:rFonts w:hint="eastAsia" w:ascii="Times New Roman" w:hAnsi="Times New Roman" w:cs="Times New Roman"/>
                      <w:color w:val="auto"/>
                      <w:sz w:val="21"/>
                      <w:szCs w:val="21"/>
                      <w:highlight w:val="none"/>
                      <w:lang w:val="en-US" w:eastAsia="zh-CN"/>
                    </w:rPr>
                    <w:t>km</w:t>
                  </w:r>
                  <w:r>
                    <w:rPr>
                      <w:rFonts w:hint="eastAsia"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其中</w:t>
                  </w:r>
                  <w:r>
                    <w:rPr>
                      <w:rFonts w:hint="eastAsia"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新建电缆沟0.2km，利用市政预留电力管沟通道敷设电缆2.3km</w:t>
                  </w:r>
                  <w:r>
                    <w:rPr>
                      <w:rFonts w:hint="default" w:ascii="Times New Roman" w:hAnsi="Times New Roman" w:cs="Times New Roman"/>
                      <w:color w:val="auto"/>
                      <w:sz w:val="21"/>
                      <w:szCs w:val="21"/>
                      <w:highlight w:val="none"/>
                    </w:rPr>
                    <w:t>。</w:t>
                  </w:r>
                </w:p>
              </w:tc>
            </w:tr>
            <w:tr w14:paraId="2FC78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8" w:type="pct"/>
                  <w:vMerge w:val="continue"/>
                  <w:vAlign w:val="center"/>
                </w:tcPr>
                <w:p w14:paraId="2BFD9A7E">
                  <w:pPr>
                    <w:jc w:val="center"/>
                    <w:rPr>
                      <w:rFonts w:hint="default" w:ascii="Times New Roman" w:hAnsi="Times New Roman" w:cs="Times New Roman"/>
                      <w:b/>
                      <w:bCs/>
                      <w:color w:val="auto"/>
                      <w:sz w:val="21"/>
                      <w:szCs w:val="21"/>
                      <w:highlight w:val="none"/>
                    </w:rPr>
                  </w:pPr>
                </w:p>
              </w:tc>
              <w:tc>
                <w:tcPr>
                  <w:tcW w:w="835" w:type="pct"/>
                  <w:gridSpan w:val="3"/>
                  <w:vAlign w:val="center"/>
                </w:tcPr>
                <w:p w14:paraId="2BCCB3EF">
                  <w:pPr>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调整黄村变接线方式</w:t>
                  </w:r>
                </w:p>
              </w:tc>
              <w:tc>
                <w:tcPr>
                  <w:tcW w:w="3905" w:type="pct"/>
                  <w:vAlign w:val="center"/>
                </w:tcPr>
                <w:p w14:paraId="68CFE26C">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本期在白沙站外将原柳北~白沙（T接黄村站、河北站）110kV线路#29杆与原茅洲~白沙110kV线路#30杆在站外跳线接通，解开原柳北~白沙（T接黄村站、河北站）110kV线路#30杆白沙侧进线。并利用原茅洲~柳北</w:t>
                  </w:r>
                  <w:r>
                    <w:rPr>
                      <w:rFonts w:hint="eastAsia" w:cs="Times New Roman"/>
                      <w:color w:val="auto"/>
                      <w:sz w:val="21"/>
                      <w:szCs w:val="21"/>
                      <w:highlight w:val="none"/>
                      <w:lang w:eastAsia="zh-CN"/>
                    </w:rPr>
                    <w:t>（</w:t>
                  </w:r>
                  <w:r>
                    <w:rPr>
                      <w:rFonts w:hint="default" w:ascii="Times New Roman" w:hAnsi="Times New Roman" w:cs="Times New Roman"/>
                      <w:color w:val="auto"/>
                      <w:sz w:val="21"/>
                      <w:szCs w:val="21"/>
                      <w:highlight w:val="none"/>
                    </w:rPr>
                    <w:t>T接河北站、黄村站</w:t>
                  </w:r>
                  <w:r>
                    <w:rPr>
                      <w:rFonts w:hint="eastAsia" w:cs="Times New Roman"/>
                      <w:color w:val="auto"/>
                      <w:sz w:val="21"/>
                      <w:szCs w:val="21"/>
                      <w:highlight w:val="none"/>
                      <w:lang w:eastAsia="zh-CN"/>
                    </w:rPr>
                    <w:t>）</w:t>
                  </w:r>
                  <w:r>
                    <w:rPr>
                      <w:rFonts w:hint="default" w:ascii="Times New Roman" w:hAnsi="Times New Roman" w:cs="Times New Roman"/>
                      <w:color w:val="auto"/>
                      <w:sz w:val="21"/>
                      <w:szCs w:val="21"/>
                      <w:highlight w:val="none"/>
                    </w:rPr>
                    <w:t>110</w:t>
                  </w:r>
                  <w:r>
                    <w:rPr>
                      <w:rFonts w:hint="eastAsia" w:cs="Times New Roman"/>
                      <w:color w:val="auto"/>
                      <w:sz w:val="21"/>
                      <w:szCs w:val="21"/>
                      <w:highlight w:val="none"/>
                      <w:lang w:eastAsia="zh-CN"/>
                    </w:rPr>
                    <w:t>kV</w:t>
                  </w:r>
                  <w:r>
                    <w:rPr>
                      <w:rFonts w:hint="default" w:ascii="Times New Roman" w:hAnsi="Times New Roman" w:cs="Times New Roman"/>
                      <w:color w:val="auto"/>
                      <w:sz w:val="21"/>
                      <w:szCs w:val="21"/>
                      <w:highlight w:val="none"/>
                    </w:rPr>
                    <w:t>线路的河北~黄村段原有电缆，在110kV河北变电站内调整黄村站T接点的位置，在站内原柳白黄北线#16～#17档线路下方新建1基电缆终端钢管杆，并将该档原有导、地线挂于新建电缆终端杆的大号侧，解开至黄村变的柳黄北茅线T接点，将黄村站的接线方式调整为柳北~黄村（T接河北站）、茅洲~黄村（T接白沙站）110</w:t>
                  </w:r>
                  <w:r>
                    <w:rPr>
                      <w:rFonts w:hint="eastAsia" w:cs="Times New Roman"/>
                      <w:color w:val="auto"/>
                      <w:sz w:val="21"/>
                      <w:szCs w:val="21"/>
                      <w:highlight w:val="none"/>
                      <w:lang w:eastAsia="zh-CN"/>
                    </w:rPr>
                    <w:t>kV</w:t>
                  </w:r>
                  <w:r>
                    <w:rPr>
                      <w:rFonts w:hint="default" w:ascii="Times New Roman" w:hAnsi="Times New Roman" w:cs="Times New Roman"/>
                      <w:color w:val="auto"/>
                      <w:sz w:val="21"/>
                      <w:szCs w:val="21"/>
                      <w:highlight w:val="none"/>
                    </w:rPr>
                    <w:t>线路。</w:t>
                  </w:r>
                </w:p>
                <w:p w14:paraId="35E0B72A">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本期仅在</w:t>
                  </w:r>
                  <w:r>
                    <w:rPr>
                      <w:rFonts w:hint="eastAsia" w:cs="Times New Roman"/>
                      <w:color w:val="auto"/>
                      <w:sz w:val="21"/>
                      <w:szCs w:val="21"/>
                      <w:highlight w:val="none"/>
                      <w:lang w:val="en-US" w:eastAsia="zh-CN"/>
                    </w:rPr>
                    <w:t>河北</w:t>
                  </w:r>
                  <w:r>
                    <w:rPr>
                      <w:rFonts w:hint="default" w:ascii="Times New Roman" w:hAnsi="Times New Roman" w:cs="Times New Roman"/>
                      <w:color w:val="auto"/>
                      <w:sz w:val="21"/>
                      <w:szCs w:val="21"/>
                      <w:highlight w:val="none"/>
                    </w:rPr>
                    <w:t>站内新建</w:t>
                  </w:r>
                  <w:r>
                    <w:rPr>
                      <w:rFonts w:hint="eastAsia" w:cs="Times New Roman"/>
                      <w:color w:val="auto"/>
                      <w:sz w:val="21"/>
                      <w:szCs w:val="21"/>
                      <w:highlight w:val="none"/>
                      <w:lang w:eastAsia="zh-CN"/>
                    </w:rPr>
                    <w:t>0.02km</w:t>
                  </w:r>
                  <w:r>
                    <w:rPr>
                      <w:rFonts w:hint="default" w:ascii="Times New Roman" w:hAnsi="Times New Roman" w:cs="Times New Roman"/>
                      <w:color w:val="auto"/>
                      <w:sz w:val="21"/>
                      <w:szCs w:val="21"/>
                      <w:highlight w:val="none"/>
                    </w:rPr>
                    <w:t>单回路电缆沟，电缆利用原柳黄北茅线电缆在新建电缆终端杆处电缆上杆。利用原有导线恢复架设改造架空线路约0.2km。</w:t>
                  </w:r>
                </w:p>
              </w:tc>
            </w:tr>
            <w:tr w14:paraId="35F68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8" w:type="pct"/>
                  <w:vMerge w:val="continue"/>
                  <w:vAlign w:val="center"/>
                </w:tcPr>
                <w:p w14:paraId="228EC7C5">
                  <w:pPr>
                    <w:jc w:val="center"/>
                    <w:rPr>
                      <w:rFonts w:hint="default" w:ascii="Times New Roman" w:hAnsi="Times New Roman" w:cs="Times New Roman"/>
                      <w:b/>
                      <w:bCs/>
                      <w:color w:val="auto"/>
                      <w:sz w:val="21"/>
                      <w:szCs w:val="21"/>
                      <w:highlight w:val="none"/>
                    </w:rPr>
                  </w:pPr>
                </w:p>
              </w:tc>
              <w:tc>
                <w:tcPr>
                  <w:tcW w:w="218" w:type="pct"/>
                  <w:gridSpan w:val="2"/>
                  <w:vMerge w:val="restart"/>
                  <w:vAlign w:val="center"/>
                </w:tcPr>
                <w:p w14:paraId="5B457DC9">
                  <w:pPr>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对侧间隔工程</w:t>
                  </w:r>
                  <w:r>
                    <w:rPr>
                      <w:rFonts w:hint="default" w:ascii="Times New Roman" w:hAnsi="Times New Roman" w:cs="Times New Roman"/>
                      <w:b/>
                      <w:bCs/>
                      <w:color w:val="auto"/>
                      <w:kern w:val="0"/>
                      <w:sz w:val="21"/>
                      <w:szCs w:val="21"/>
                      <w:highlight w:val="none"/>
                      <w:vertAlign w:val="superscript"/>
                      <w:lang w:val="en-US" w:eastAsia="zh-CN" w:bidi="ar"/>
                    </w:rPr>
                    <w:t>*</w:t>
                  </w:r>
                </w:p>
              </w:tc>
              <w:tc>
                <w:tcPr>
                  <w:tcW w:w="617" w:type="pct"/>
                  <w:vAlign w:val="center"/>
                </w:tcPr>
                <w:p w14:paraId="1C4E308E">
                  <w:pPr>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220kV柳北</w:t>
                  </w:r>
                  <w:r>
                    <w:rPr>
                      <w:rFonts w:hint="eastAsia" w:cs="Times New Roman"/>
                      <w:b/>
                      <w:bCs/>
                      <w:color w:val="auto"/>
                      <w:kern w:val="0"/>
                      <w:sz w:val="21"/>
                      <w:szCs w:val="21"/>
                      <w:highlight w:val="none"/>
                      <w:lang w:val="en-US" w:eastAsia="zh-CN" w:bidi="ar"/>
                    </w:rPr>
                    <w:t>变电</w:t>
                  </w:r>
                  <w:r>
                    <w:rPr>
                      <w:rFonts w:hint="default" w:ascii="Times New Roman" w:hAnsi="Times New Roman" w:eastAsia="宋体" w:cs="Times New Roman"/>
                      <w:b/>
                      <w:bCs/>
                      <w:color w:val="auto"/>
                      <w:kern w:val="0"/>
                      <w:sz w:val="21"/>
                      <w:szCs w:val="21"/>
                      <w:highlight w:val="none"/>
                      <w:lang w:val="en-US" w:eastAsia="zh-CN" w:bidi="ar"/>
                    </w:rPr>
                    <w:t>站</w:t>
                  </w:r>
                </w:p>
              </w:tc>
              <w:tc>
                <w:tcPr>
                  <w:tcW w:w="3905" w:type="pct"/>
                  <w:vAlign w:val="center"/>
                </w:tcPr>
                <w:p w14:paraId="547C281F">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在站内</w:t>
                  </w:r>
                  <w:r>
                    <w:rPr>
                      <w:rFonts w:hint="default" w:ascii="Times New Roman" w:hAnsi="Times New Roman" w:eastAsia="宋体" w:cs="Times New Roman"/>
                      <w:color w:val="auto"/>
                      <w:sz w:val="21"/>
                      <w:szCs w:val="21"/>
                      <w:highlight w:val="none"/>
                      <w:lang w:eastAsia="zh-CN"/>
                    </w:rPr>
                    <w:t>配置1套3端线路光纤差动保护，组屏1面</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对</w:t>
                  </w:r>
                  <w:r>
                    <w:rPr>
                      <w:rFonts w:hint="default" w:ascii="Times New Roman" w:hAnsi="Times New Roman" w:cs="Times New Roman"/>
                      <w:color w:val="auto"/>
                      <w:sz w:val="21"/>
                      <w:szCs w:val="21"/>
                      <w:highlight w:val="none"/>
                      <w:lang w:val="en-US" w:eastAsia="zh-CN"/>
                    </w:rPr>
                    <w:t>本期涉及的110kV间隔设备标识牌进行更换。</w:t>
                  </w:r>
                </w:p>
              </w:tc>
            </w:tr>
            <w:tr w14:paraId="4ABE4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8" w:type="pct"/>
                  <w:vMerge w:val="continue"/>
                  <w:vAlign w:val="center"/>
                </w:tcPr>
                <w:p w14:paraId="4B03FD1D">
                  <w:pPr>
                    <w:jc w:val="center"/>
                    <w:rPr>
                      <w:rFonts w:hint="default" w:ascii="Times New Roman" w:hAnsi="Times New Roman" w:cs="Times New Roman"/>
                      <w:b/>
                      <w:bCs/>
                      <w:color w:val="auto"/>
                      <w:sz w:val="21"/>
                      <w:szCs w:val="21"/>
                      <w:highlight w:val="none"/>
                    </w:rPr>
                  </w:pPr>
                </w:p>
              </w:tc>
              <w:tc>
                <w:tcPr>
                  <w:tcW w:w="218" w:type="pct"/>
                  <w:gridSpan w:val="2"/>
                  <w:vMerge w:val="continue"/>
                  <w:vAlign w:val="center"/>
                </w:tcPr>
                <w:p w14:paraId="20900016">
                  <w:pPr>
                    <w:jc w:val="center"/>
                    <w:rPr>
                      <w:rFonts w:hint="default" w:ascii="Times New Roman" w:hAnsi="Times New Roman" w:eastAsia="宋体" w:cs="Times New Roman"/>
                      <w:b/>
                      <w:bCs/>
                      <w:color w:val="auto"/>
                      <w:kern w:val="0"/>
                      <w:sz w:val="21"/>
                      <w:szCs w:val="21"/>
                      <w:highlight w:val="none"/>
                      <w:lang w:val="en-US" w:eastAsia="zh-CN" w:bidi="ar"/>
                    </w:rPr>
                  </w:pPr>
                </w:p>
              </w:tc>
              <w:tc>
                <w:tcPr>
                  <w:tcW w:w="617" w:type="pct"/>
                  <w:vAlign w:val="center"/>
                </w:tcPr>
                <w:p w14:paraId="45C47777">
                  <w:pPr>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cs="Times New Roman"/>
                      <w:b/>
                      <w:bCs/>
                      <w:color w:val="auto"/>
                      <w:sz w:val="21"/>
                      <w:szCs w:val="21"/>
                      <w:highlight w:val="none"/>
                      <w:lang w:val="en-US" w:eastAsia="zh-CN"/>
                    </w:rPr>
                    <w:t>220kV茅洲</w:t>
                  </w:r>
                  <w:r>
                    <w:rPr>
                      <w:rFonts w:hint="eastAsia" w:cs="Times New Roman"/>
                      <w:b/>
                      <w:bCs/>
                      <w:color w:val="auto"/>
                      <w:kern w:val="0"/>
                      <w:sz w:val="21"/>
                      <w:szCs w:val="21"/>
                      <w:highlight w:val="none"/>
                      <w:lang w:val="en-US" w:eastAsia="zh-CN" w:bidi="ar"/>
                    </w:rPr>
                    <w:t>变电</w:t>
                  </w:r>
                  <w:r>
                    <w:rPr>
                      <w:rFonts w:hint="default" w:ascii="Times New Roman" w:hAnsi="Times New Roman" w:cs="Times New Roman"/>
                      <w:b/>
                      <w:bCs/>
                      <w:color w:val="auto"/>
                      <w:sz w:val="21"/>
                      <w:szCs w:val="21"/>
                      <w:highlight w:val="none"/>
                      <w:lang w:val="en-US" w:eastAsia="zh-CN"/>
                    </w:rPr>
                    <w:t>站</w:t>
                  </w:r>
                </w:p>
              </w:tc>
              <w:tc>
                <w:tcPr>
                  <w:tcW w:w="3905" w:type="pct"/>
                  <w:vAlign w:val="center"/>
                </w:tcPr>
                <w:p w14:paraId="04671AA8">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在站内</w:t>
                  </w:r>
                  <w:r>
                    <w:rPr>
                      <w:rFonts w:hint="default" w:ascii="Times New Roman" w:hAnsi="Times New Roman" w:eastAsia="宋体" w:cs="Times New Roman"/>
                      <w:color w:val="auto"/>
                      <w:sz w:val="21"/>
                      <w:szCs w:val="21"/>
                      <w:highlight w:val="none"/>
                      <w:lang w:val="en-US" w:eastAsia="zh-CN"/>
                    </w:rPr>
                    <w:t>配置1套3端线路光纤差动保护，组屏1面</w:t>
                  </w:r>
                  <w:r>
                    <w:rPr>
                      <w:rFonts w:hint="eastAsia" w:ascii="Times New Roman" w:hAnsi="Times New Roman" w:eastAsia="宋体" w:cs="Times New Roman"/>
                      <w:color w:val="auto"/>
                      <w:sz w:val="21"/>
                      <w:szCs w:val="21"/>
                      <w:highlight w:val="none"/>
                      <w:lang w:val="en-US" w:eastAsia="zh-CN"/>
                    </w:rPr>
                    <w:t>，对</w:t>
                  </w:r>
                  <w:r>
                    <w:rPr>
                      <w:rFonts w:hint="default" w:ascii="Times New Roman" w:hAnsi="Times New Roman" w:eastAsia="宋体" w:cs="Times New Roman"/>
                      <w:color w:val="auto"/>
                      <w:sz w:val="21"/>
                      <w:szCs w:val="21"/>
                      <w:highlight w:val="none"/>
                      <w:lang w:val="en-US" w:eastAsia="zh-CN"/>
                    </w:rPr>
                    <w:t>本期涉及的110kV间隔设备标识牌进行更换。</w:t>
                  </w:r>
                </w:p>
              </w:tc>
            </w:tr>
            <w:tr w14:paraId="345E5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8" w:type="pct"/>
                  <w:vMerge w:val="continue"/>
                  <w:vAlign w:val="center"/>
                </w:tcPr>
                <w:p w14:paraId="06A53AD0">
                  <w:pPr>
                    <w:jc w:val="center"/>
                    <w:rPr>
                      <w:rFonts w:hint="default" w:ascii="Times New Roman" w:hAnsi="Times New Roman" w:cs="Times New Roman"/>
                      <w:b/>
                      <w:bCs/>
                      <w:color w:val="auto"/>
                      <w:sz w:val="21"/>
                      <w:szCs w:val="21"/>
                      <w:highlight w:val="none"/>
                    </w:rPr>
                  </w:pPr>
                </w:p>
              </w:tc>
              <w:tc>
                <w:tcPr>
                  <w:tcW w:w="218" w:type="pct"/>
                  <w:gridSpan w:val="2"/>
                  <w:vMerge w:val="continue"/>
                  <w:vAlign w:val="center"/>
                </w:tcPr>
                <w:p w14:paraId="3C8ED36A">
                  <w:pPr>
                    <w:jc w:val="center"/>
                    <w:rPr>
                      <w:rFonts w:hint="default" w:ascii="Times New Roman" w:hAnsi="Times New Roman" w:eastAsia="宋体" w:cs="Times New Roman"/>
                      <w:b/>
                      <w:bCs/>
                      <w:color w:val="auto"/>
                      <w:kern w:val="0"/>
                      <w:sz w:val="21"/>
                      <w:szCs w:val="21"/>
                      <w:highlight w:val="none"/>
                      <w:lang w:val="en-US" w:eastAsia="zh-CN" w:bidi="ar"/>
                    </w:rPr>
                  </w:pPr>
                </w:p>
              </w:tc>
              <w:tc>
                <w:tcPr>
                  <w:tcW w:w="617" w:type="pct"/>
                  <w:shd w:val="clear" w:color="auto" w:fill="auto"/>
                  <w:vAlign w:val="center"/>
                </w:tcPr>
                <w:p w14:paraId="13CD30B6">
                  <w:pPr>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sz w:val="21"/>
                      <w:szCs w:val="21"/>
                      <w:highlight w:val="none"/>
                      <w:lang w:val="en-US" w:eastAsia="zh-CN"/>
                    </w:rPr>
                    <w:t>110kV黄村</w:t>
                  </w:r>
                  <w:r>
                    <w:rPr>
                      <w:rFonts w:hint="eastAsia" w:cs="Times New Roman"/>
                      <w:b/>
                      <w:bCs/>
                      <w:color w:val="auto"/>
                      <w:kern w:val="0"/>
                      <w:sz w:val="21"/>
                      <w:szCs w:val="21"/>
                      <w:highlight w:val="none"/>
                      <w:lang w:val="en-US" w:eastAsia="zh-CN" w:bidi="ar"/>
                    </w:rPr>
                    <w:t>变电</w:t>
                  </w:r>
                  <w:r>
                    <w:rPr>
                      <w:rFonts w:hint="default" w:ascii="Times New Roman" w:hAnsi="Times New Roman" w:eastAsia="宋体" w:cs="Times New Roman"/>
                      <w:b/>
                      <w:bCs/>
                      <w:color w:val="auto"/>
                      <w:sz w:val="21"/>
                      <w:szCs w:val="21"/>
                      <w:highlight w:val="none"/>
                      <w:lang w:val="en-US" w:eastAsia="zh-CN"/>
                    </w:rPr>
                    <w:t>站</w:t>
                  </w:r>
                </w:p>
              </w:tc>
              <w:tc>
                <w:tcPr>
                  <w:tcW w:w="3905" w:type="pct"/>
                  <w:shd w:val="clear" w:color="auto" w:fill="auto"/>
                  <w:vAlign w:val="center"/>
                </w:tcPr>
                <w:p w14:paraId="1FDF2842">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在站内</w:t>
                  </w:r>
                  <w:r>
                    <w:rPr>
                      <w:rFonts w:hint="default" w:ascii="Times New Roman" w:hAnsi="Times New Roman" w:eastAsia="宋体" w:cs="Times New Roman"/>
                      <w:color w:val="auto"/>
                      <w:sz w:val="21"/>
                      <w:szCs w:val="21"/>
                      <w:highlight w:val="none"/>
                      <w:lang w:val="en-US" w:eastAsia="zh-CN"/>
                    </w:rPr>
                    <w:t>配置2套3端线路光纤差动保护，组屏1面</w:t>
                  </w:r>
                  <w:r>
                    <w:rPr>
                      <w:rFonts w:hint="eastAsia" w:ascii="Times New Roman" w:hAnsi="Times New Roman" w:eastAsia="宋体" w:cs="Times New Roman"/>
                      <w:color w:val="auto"/>
                      <w:sz w:val="21"/>
                      <w:szCs w:val="21"/>
                      <w:highlight w:val="none"/>
                      <w:lang w:val="en-US" w:eastAsia="zh-CN"/>
                    </w:rPr>
                    <w:t>，对</w:t>
                  </w:r>
                  <w:r>
                    <w:rPr>
                      <w:rFonts w:hint="default" w:ascii="Times New Roman" w:hAnsi="Times New Roman" w:eastAsia="宋体" w:cs="Times New Roman"/>
                      <w:color w:val="auto"/>
                      <w:sz w:val="21"/>
                      <w:szCs w:val="21"/>
                      <w:highlight w:val="none"/>
                      <w:lang w:val="en-US" w:eastAsia="zh-CN"/>
                    </w:rPr>
                    <w:t>本期涉及的110kV间隔设备标识牌进行更换。</w:t>
                  </w:r>
                </w:p>
              </w:tc>
            </w:tr>
            <w:tr w14:paraId="4685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8" w:type="pct"/>
                  <w:vMerge w:val="continue"/>
                  <w:vAlign w:val="center"/>
                </w:tcPr>
                <w:p w14:paraId="4F28BC1C">
                  <w:pPr>
                    <w:jc w:val="center"/>
                    <w:rPr>
                      <w:rFonts w:hint="default" w:ascii="Times New Roman" w:hAnsi="Times New Roman" w:cs="Times New Roman"/>
                      <w:b/>
                      <w:bCs/>
                      <w:color w:val="auto"/>
                      <w:sz w:val="21"/>
                      <w:szCs w:val="21"/>
                      <w:highlight w:val="none"/>
                    </w:rPr>
                  </w:pPr>
                </w:p>
              </w:tc>
              <w:tc>
                <w:tcPr>
                  <w:tcW w:w="218" w:type="pct"/>
                  <w:gridSpan w:val="2"/>
                  <w:vMerge w:val="continue"/>
                  <w:vAlign w:val="center"/>
                </w:tcPr>
                <w:p w14:paraId="0BE6DF4D">
                  <w:pPr>
                    <w:jc w:val="center"/>
                    <w:rPr>
                      <w:rFonts w:hint="default" w:ascii="Times New Roman" w:hAnsi="Times New Roman" w:eastAsia="宋体" w:cs="Times New Roman"/>
                      <w:b/>
                      <w:bCs/>
                      <w:color w:val="auto"/>
                      <w:kern w:val="0"/>
                      <w:sz w:val="21"/>
                      <w:szCs w:val="21"/>
                      <w:highlight w:val="none"/>
                      <w:lang w:val="en-US" w:eastAsia="zh-CN" w:bidi="ar"/>
                    </w:rPr>
                  </w:pPr>
                </w:p>
              </w:tc>
              <w:tc>
                <w:tcPr>
                  <w:tcW w:w="617" w:type="pct"/>
                  <w:vAlign w:val="center"/>
                </w:tcPr>
                <w:p w14:paraId="27110C42">
                  <w:pPr>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110kV河北</w:t>
                  </w:r>
                  <w:r>
                    <w:rPr>
                      <w:rFonts w:hint="eastAsia" w:cs="Times New Roman"/>
                      <w:b/>
                      <w:bCs/>
                      <w:color w:val="auto"/>
                      <w:kern w:val="0"/>
                      <w:sz w:val="21"/>
                      <w:szCs w:val="21"/>
                      <w:highlight w:val="none"/>
                      <w:lang w:val="en-US" w:eastAsia="zh-CN" w:bidi="ar"/>
                    </w:rPr>
                    <w:t>变电</w:t>
                  </w:r>
                  <w:r>
                    <w:rPr>
                      <w:rFonts w:hint="default" w:ascii="Times New Roman" w:hAnsi="Times New Roman" w:cs="Times New Roman"/>
                      <w:b/>
                      <w:bCs/>
                      <w:color w:val="auto"/>
                      <w:sz w:val="21"/>
                      <w:szCs w:val="21"/>
                      <w:highlight w:val="none"/>
                      <w:lang w:val="en-US" w:eastAsia="zh-CN"/>
                    </w:rPr>
                    <w:t>站</w:t>
                  </w:r>
                </w:p>
              </w:tc>
              <w:tc>
                <w:tcPr>
                  <w:tcW w:w="3905" w:type="pct"/>
                  <w:vAlign w:val="center"/>
                </w:tcPr>
                <w:p w14:paraId="4E19A331">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在站内</w:t>
                  </w:r>
                  <w:r>
                    <w:rPr>
                      <w:rFonts w:hint="default" w:ascii="Times New Roman" w:hAnsi="Times New Roman" w:eastAsia="宋体" w:cs="Times New Roman"/>
                      <w:color w:val="auto"/>
                      <w:sz w:val="21"/>
                      <w:szCs w:val="21"/>
                      <w:highlight w:val="none"/>
                      <w:lang w:val="en-US" w:eastAsia="zh-CN"/>
                    </w:rPr>
                    <w:t>配置1套3端线路光纤差动保护，组屏1面</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对本期涉及的110kV间隔设备标识牌进行更换。</w:t>
                  </w:r>
                </w:p>
              </w:tc>
            </w:tr>
            <w:tr w14:paraId="7FD48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8" w:type="pct"/>
                  <w:vMerge w:val="continue"/>
                  <w:vAlign w:val="center"/>
                </w:tcPr>
                <w:p w14:paraId="1AAA5012">
                  <w:pPr>
                    <w:jc w:val="center"/>
                    <w:rPr>
                      <w:rFonts w:hint="default" w:ascii="Times New Roman" w:hAnsi="Times New Roman" w:cs="Times New Roman"/>
                      <w:b/>
                      <w:bCs/>
                      <w:color w:val="auto"/>
                      <w:sz w:val="21"/>
                      <w:szCs w:val="21"/>
                      <w:highlight w:val="none"/>
                    </w:rPr>
                  </w:pPr>
                </w:p>
              </w:tc>
              <w:tc>
                <w:tcPr>
                  <w:tcW w:w="218" w:type="pct"/>
                  <w:gridSpan w:val="2"/>
                  <w:vMerge w:val="continue"/>
                  <w:vAlign w:val="center"/>
                </w:tcPr>
                <w:p w14:paraId="5BC1ED41">
                  <w:pPr>
                    <w:jc w:val="center"/>
                    <w:rPr>
                      <w:rFonts w:hint="default" w:ascii="Times New Roman" w:hAnsi="Times New Roman" w:cs="Times New Roman"/>
                      <w:b/>
                      <w:bCs/>
                      <w:color w:val="auto"/>
                      <w:kern w:val="0"/>
                      <w:sz w:val="21"/>
                      <w:szCs w:val="21"/>
                      <w:highlight w:val="none"/>
                      <w:lang w:val="en-US" w:eastAsia="zh-CN" w:bidi="ar"/>
                    </w:rPr>
                  </w:pPr>
                </w:p>
              </w:tc>
              <w:tc>
                <w:tcPr>
                  <w:tcW w:w="617" w:type="pct"/>
                  <w:vAlign w:val="center"/>
                </w:tcPr>
                <w:p w14:paraId="7CC9E08F">
                  <w:pPr>
                    <w:jc w:val="center"/>
                    <w:rPr>
                      <w:rFonts w:hint="default" w:ascii="Times New Roman" w:hAnsi="Times New Roman" w:cs="Times New Roman"/>
                      <w:b/>
                      <w:bCs/>
                      <w:color w:val="auto"/>
                      <w:kern w:val="0"/>
                      <w:sz w:val="21"/>
                      <w:szCs w:val="21"/>
                      <w:highlight w:val="none"/>
                      <w:lang w:val="en-US" w:eastAsia="zh-CN" w:bidi="ar"/>
                    </w:rPr>
                  </w:pPr>
                  <w:r>
                    <w:rPr>
                      <w:rFonts w:hint="default" w:ascii="Times New Roman" w:hAnsi="Times New Roman" w:cs="Times New Roman"/>
                      <w:b/>
                      <w:bCs/>
                      <w:color w:val="auto"/>
                      <w:sz w:val="21"/>
                      <w:szCs w:val="21"/>
                      <w:highlight w:val="none"/>
                      <w:lang w:val="en-US" w:eastAsia="zh-CN"/>
                    </w:rPr>
                    <w:t>110kV白沙</w:t>
                  </w:r>
                  <w:r>
                    <w:rPr>
                      <w:rFonts w:hint="eastAsia" w:cs="Times New Roman"/>
                      <w:b/>
                      <w:bCs/>
                      <w:color w:val="auto"/>
                      <w:kern w:val="0"/>
                      <w:sz w:val="21"/>
                      <w:szCs w:val="21"/>
                      <w:highlight w:val="none"/>
                      <w:lang w:val="en-US" w:eastAsia="zh-CN" w:bidi="ar"/>
                    </w:rPr>
                    <w:t>变电</w:t>
                  </w:r>
                  <w:r>
                    <w:rPr>
                      <w:rFonts w:hint="default" w:ascii="Times New Roman" w:hAnsi="Times New Roman" w:cs="Times New Roman"/>
                      <w:b/>
                      <w:bCs/>
                      <w:color w:val="auto"/>
                      <w:sz w:val="21"/>
                      <w:szCs w:val="21"/>
                      <w:highlight w:val="none"/>
                      <w:lang w:val="en-US" w:eastAsia="zh-CN"/>
                    </w:rPr>
                    <w:t>站</w:t>
                  </w:r>
                </w:p>
              </w:tc>
              <w:tc>
                <w:tcPr>
                  <w:tcW w:w="3905" w:type="pct"/>
                  <w:vAlign w:val="center"/>
                </w:tcPr>
                <w:p w14:paraId="1B6DD4CB">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在站内</w:t>
                  </w:r>
                  <w:r>
                    <w:rPr>
                      <w:rFonts w:hint="default" w:ascii="Times New Roman" w:hAnsi="Times New Roman" w:eastAsia="宋体" w:cs="Times New Roman"/>
                      <w:color w:val="auto"/>
                      <w:sz w:val="21"/>
                      <w:szCs w:val="21"/>
                      <w:highlight w:val="none"/>
                      <w:lang w:val="en-US" w:eastAsia="zh-CN"/>
                    </w:rPr>
                    <w:t>配置1套3端线路光纤差动保护，组屏1面</w:t>
                  </w:r>
                  <w:r>
                    <w:rPr>
                      <w:rFonts w:hint="eastAsia" w:ascii="Times New Roman" w:hAnsi="Times New Roman" w:eastAsia="宋体" w:cs="Times New Roman"/>
                      <w:color w:val="auto"/>
                      <w:sz w:val="21"/>
                      <w:szCs w:val="21"/>
                      <w:highlight w:val="none"/>
                      <w:lang w:val="en-US" w:eastAsia="zh-CN"/>
                    </w:rPr>
                    <w:t>，对</w:t>
                  </w:r>
                  <w:r>
                    <w:rPr>
                      <w:rFonts w:hint="default" w:ascii="Times New Roman" w:hAnsi="Times New Roman" w:eastAsia="宋体" w:cs="Times New Roman"/>
                      <w:color w:val="auto"/>
                      <w:sz w:val="21"/>
                      <w:szCs w:val="21"/>
                      <w:highlight w:val="none"/>
                      <w:lang w:val="en-US" w:eastAsia="zh-CN"/>
                    </w:rPr>
                    <w:t>本期涉及的110kV间隔设备标识牌进行更换。</w:t>
                  </w:r>
                </w:p>
              </w:tc>
            </w:tr>
            <w:tr w14:paraId="189A5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4" w:type="pct"/>
                  <w:gridSpan w:val="4"/>
                  <w:vAlign w:val="center"/>
                </w:tcPr>
                <w:p w14:paraId="561F0691">
                  <w:pPr>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辅助工程</w:t>
                  </w:r>
                </w:p>
              </w:tc>
              <w:tc>
                <w:tcPr>
                  <w:tcW w:w="3905" w:type="pct"/>
                  <w:vAlign w:val="center"/>
                </w:tcPr>
                <w:p w14:paraId="7F4BC38F">
                  <w:pPr>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w:t>
                  </w:r>
                </w:p>
              </w:tc>
            </w:tr>
            <w:tr w14:paraId="7E879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1" w:type="pct"/>
                  <w:gridSpan w:val="2"/>
                  <w:vMerge w:val="restart"/>
                  <w:vAlign w:val="center"/>
                </w:tcPr>
                <w:p w14:paraId="33978B05">
                  <w:pPr>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kern w:val="0"/>
                      <w:sz w:val="21"/>
                      <w:szCs w:val="21"/>
                      <w:highlight w:val="none"/>
                      <w:lang w:bidi="ar"/>
                    </w:rPr>
                    <w:t>环保工程</w:t>
                  </w:r>
                </w:p>
              </w:tc>
              <w:tc>
                <w:tcPr>
                  <w:tcW w:w="683" w:type="pct"/>
                  <w:gridSpan w:val="2"/>
                  <w:vAlign w:val="center"/>
                </w:tcPr>
                <w:p w14:paraId="57BCFFC7">
                  <w:pPr>
                    <w:autoSpaceDN w:val="0"/>
                    <w:adjustRightInd w:val="0"/>
                    <w:snapToGrid w:val="0"/>
                    <w:jc w:val="center"/>
                    <w:textAlignment w:val="baseline"/>
                    <w:rPr>
                      <w:rFonts w:hint="default" w:ascii="Times New Roman" w:hAnsi="Times New Roman" w:cs="Times New Roman"/>
                      <w:b/>
                      <w:bCs/>
                      <w:color w:val="auto"/>
                      <w:kern w:val="0"/>
                      <w:sz w:val="21"/>
                      <w:szCs w:val="21"/>
                      <w:highlight w:val="none"/>
                      <w:lang w:bidi="ar"/>
                    </w:rPr>
                  </w:pPr>
                  <w:r>
                    <w:rPr>
                      <w:rFonts w:hint="default" w:ascii="Times New Roman" w:hAnsi="Times New Roman" w:cs="Times New Roman"/>
                      <w:b/>
                      <w:bCs/>
                      <w:color w:val="auto"/>
                      <w:kern w:val="0"/>
                      <w:sz w:val="21"/>
                      <w:szCs w:val="21"/>
                      <w:highlight w:val="none"/>
                      <w:lang w:bidi="ar"/>
                    </w:rPr>
                    <w:t>生态恢复</w:t>
                  </w:r>
                </w:p>
              </w:tc>
              <w:tc>
                <w:tcPr>
                  <w:tcW w:w="3905" w:type="pct"/>
                  <w:vAlign w:val="center"/>
                </w:tcPr>
                <w:p w14:paraId="1DDA3B8A">
                  <w:pPr>
                    <w:jc w:val="center"/>
                    <w:rPr>
                      <w:rFonts w:hint="default" w:ascii="Times New Roman" w:hAnsi="Times New Roman" w:cs="Times New Roman"/>
                      <w:b/>
                      <w:color w:val="auto"/>
                      <w:sz w:val="21"/>
                      <w:szCs w:val="21"/>
                      <w:highlight w:val="none"/>
                    </w:rPr>
                  </w:pPr>
                  <w:r>
                    <w:rPr>
                      <w:rFonts w:hint="default" w:ascii="Times New Roman" w:hAnsi="Times New Roman" w:cs="Times New Roman"/>
                      <w:color w:val="auto"/>
                      <w:sz w:val="21"/>
                      <w:szCs w:val="21"/>
                      <w:highlight w:val="none"/>
                    </w:rPr>
                    <w:t>植被恢复措施</w:t>
                  </w:r>
                </w:p>
              </w:tc>
            </w:tr>
            <w:tr w14:paraId="4ABAC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1" w:type="pct"/>
                  <w:gridSpan w:val="2"/>
                  <w:vMerge w:val="continue"/>
                  <w:vAlign w:val="center"/>
                </w:tcPr>
                <w:p w14:paraId="6709B958">
                  <w:pPr>
                    <w:jc w:val="center"/>
                    <w:rPr>
                      <w:rFonts w:hint="default" w:ascii="Times New Roman" w:hAnsi="Times New Roman" w:cs="Times New Roman"/>
                      <w:b/>
                      <w:bCs/>
                      <w:color w:val="auto"/>
                      <w:sz w:val="21"/>
                      <w:szCs w:val="21"/>
                      <w:highlight w:val="none"/>
                    </w:rPr>
                  </w:pPr>
                </w:p>
              </w:tc>
              <w:tc>
                <w:tcPr>
                  <w:tcW w:w="683" w:type="pct"/>
                  <w:gridSpan w:val="2"/>
                  <w:vAlign w:val="center"/>
                </w:tcPr>
                <w:p w14:paraId="7B186398">
                  <w:pPr>
                    <w:autoSpaceDN w:val="0"/>
                    <w:adjustRightInd w:val="0"/>
                    <w:snapToGrid w:val="0"/>
                    <w:jc w:val="center"/>
                    <w:textAlignment w:val="baseline"/>
                    <w:rPr>
                      <w:rFonts w:hint="default" w:ascii="Times New Roman" w:hAnsi="Times New Roman" w:cs="Times New Roman"/>
                      <w:b/>
                      <w:bCs/>
                      <w:color w:val="auto"/>
                      <w:kern w:val="0"/>
                      <w:sz w:val="21"/>
                      <w:szCs w:val="21"/>
                      <w:highlight w:val="none"/>
                      <w:lang w:eastAsia="zh-CN" w:bidi="ar"/>
                    </w:rPr>
                  </w:pPr>
                  <w:r>
                    <w:rPr>
                      <w:rFonts w:hint="default" w:ascii="Times New Roman" w:hAnsi="Times New Roman" w:cs="Times New Roman"/>
                      <w:b/>
                      <w:bCs/>
                      <w:color w:val="auto"/>
                      <w:kern w:val="0"/>
                      <w:sz w:val="21"/>
                      <w:szCs w:val="21"/>
                      <w:highlight w:val="none"/>
                      <w:lang w:bidi="ar"/>
                    </w:rPr>
                    <w:t>污水处理</w:t>
                  </w:r>
                </w:p>
              </w:tc>
              <w:tc>
                <w:tcPr>
                  <w:tcW w:w="3905" w:type="pct"/>
                  <w:vAlign w:val="center"/>
                </w:tcPr>
                <w:p w14:paraId="35292B8A">
                  <w:pPr>
                    <w:jc w:val="center"/>
                    <w:rPr>
                      <w:rFonts w:hint="eastAsia" w:ascii="Times New Roman" w:hAnsi="Times New Roman" w:eastAsia="宋体" w:cs="Times New Roman"/>
                      <w:color w:val="auto"/>
                      <w:kern w:val="0"/>
                      <w:sz w:val="21"/>
                      <w:szCs w:val="21"/>
                      <w:highlight w:val="none"/>
                      <w:lang w:eastAsia="zh-CN" w:bidi="ar"/>
                    </w:rPr>
                  </w:pPr>
                  <w:r>
                    <w:rPr>
                      <w:rFonts w:hint="default" w:ascii="Times New Roman" w:hAnsi="Times New Roman" w:cs="Times New Roman"/>
                      <w:color w:val="auto"/>
                      <w:kern w:val="0"/>
                      <w:sz w:val="21"/>
                      <w:szCs w:val="21"/>
                      <w:highlight w:val="none"/>
                      <w:lang w:bidi="ar"/>
                    </w:rPr>
                    <w:t>排水沟、沉淀池</w:t>
                  </w:r>
                </w:p>
              </w:tc>
            </w:tr>
            <w:tr w14:paraId="334CE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1" w:type="pct"/>
                  <w:gridSpan w:val="2"/>
                  <w:vMerge w:val="continue"/>
                  <w:vAlign w:val="center"/>
                </w:tcPr>
                <w:p w14:paraId="44A2DC04">
                  <w:pPr>
                    <w:jc w:val="center"/>
                    <w:rPr>
                      <w:rFonts w:hint="default" w:ascii="Times New Roman" w:hAnsi="Times New Roman" w:cs="Times New Roman"/>
                      <w:b/>
                      <w:bCs/>
                      <w:color w:val="auto"/>
                      <w:sz w:val="21"/>
                      <w:szCs w:val="21"/>
                      <w:highlight w:val="none"/>
                    </w:rPr>
                  </w:pPr>
                </w:p>
              </w:tc>
              <w:tc>
                <w:tcPr>
                  <w:tcW w:w="683" w:type="pct"/>
                  <w:gridSpan w:val="2"/>
                  <w:vAlign w:val="center"/>
                </w:tcPr>
                <w:p w14:paraId="6B82FF26">
                  <w:pPr>
                    <w:autoSpaceDN w:val="0"/>
                    <w:adjustRightInd w:val="0"/>
                    <w:snapToGrid w:val="0"/>
                    <w:jc w:val="center"/>
                    <w:textAlignment w:val="baseline"/>
                    <w:rPr>
                      <w:rFonts w:hint="default" w:ascii="Times New Roman" w:hAnsi="Times New Roman" w:cs="Times New Roman"/>
                      <w:b/>
                      <w:bCs/>
                      <w:color w:val="auto"/>
                      <w:kern w:val="0"/>
                      <w:sz w:val="21"/>
                      <w:szCs w:val="21"/>
                      <w:highlight w:val="none"/>
                      <w:lang w:bidi="ar"/>
                    </w:rPr>
                  </w:pPr>
                  <w:r>
                    <w:rPr>
                      <w:rFonts w:hint="default" w:ascii="Times New Roman" w:hAnsi="Times New Roman" w:cs="Times New Roman"/>
                      <w:b/>
                      <w:bCs/>
                      <w:color w:val="auto"/>
                      <w:kern w:val="0"/>
                      <w:sz w:val="21"/>
                      <w:szCs w:val="21"/>
                      <w:highlight w:val="none"/>
                      <w:lang w:bidi="ar"/>
                    </w:rPr>
                    <w:t>噪声防治</w:t>
                  </w:r>
                </w:p>
              </w:tc>
              <w:tc>
                <w:tcPr>
                  <w:tcW w:w="3905" w:type="pct"/>
                  <w:vAlign w:val="center"/>
                </w:tcPr>
                <w:p w14:paraId="069B10F2">
                  <w:pPr>
                    <w:jc w:val="center"/>
                    <w:rPr>
                      <w:rFonts w:hint="eastAsia" w:cs="Times New Roman"/>
                      <w:color w:val="auto"/>
                      <w:sz w:val="21"/>
                      <w:szCs w:val="21"/>
                      <w:highlight w:val="none"/>
                      <w:lang w:val="en-US" w:eastAsia="zh-CN"/>
                    </w:rPr>
                  </w:pPr>
                  <w:r>
                    <w:rPr>
                      <w:color w:val="auto"/>
                      <w:sz w:val="21"/>
                      <w:szCs w:val="21"/>
                      <w:highlight w:val="none"/>
                    </w:rPr>
                    <w:t>选用低噪声施工设备</w:t>
                  </w:r>
                </w:p>
              </w:tc>
            </w:tr>
            <w:tr w14:paraId="373B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1" w:type="pct"/>
                  <w:gridSpan w:val="2"/>
                  <w:vMerge w:val="continue"/>
                  <w:vAlign w:val="center"/>
                </w:tcPr>
                <w:p w14:paraId="5FD5BE39">
                  <w:pPr>
                    <w:jc w:val="center"/>
                    <w:rPr>
                      <w:rFonts w:hint="default" w:ascii="Times New Roman" w:hAnsi="Times New Roman" w:cs="Times New Roman"/>
                      <w:b/>
                      <w:bCs/>
                      <w:color w:val="auto"/>
                      <w:sz w:val="21"/>
                      <w:szCs w:val="21"/>
                      <w:highlight w:val="none"/>
                    </w:rPr>
                  </w:pPr>
                </w:p>
              </w:tc>
              <w:tc>
                <w:tcPr>
                  <w:tcW w:w="683" w:type="pct"/>
                  <w:gridSpan w:val="2"/>
                  <w:vAlign w:val="center"/>
                </w:tcPr>
                <w:p w14:paraId="4B5870C5">
                  <w:pPr>
                    <w:autoSpaceDN w:val="0"/>
                    <w:adjustRightInd w:val="0"/>
                    <w:snapToGrid w:val="0"/>
                    <w:jc w:val="center"/>
                    <w:textAlignment w:val="baseline"/>
                    <w:rPr>
                      <w:rFonts w:hint="default" w:ascii="Times New Roman" w:hAnsi="Times New Roman" w:cs="Times New Roman"/>
                      <w:b/>
                      <w:bCs/>
                      <w:color w:val="auto"/>
                      <w:kern w:val="0"/>
                      <w:sz w:val="21"/>
                      <w:szCs w:val="21"/>
                      <w:highlight w:val="none"/>
                      <w:lang w:val="en-US" w:eastAsia="zh-CN" w:bidi="ar"/>
                    </w:rPr>
                  </w:pPr>
                  <w:r>
                    <w:rPr>
                      <w:rFonts w:hint="default" w:ascii="Times New Roman" w:hAnsi="Times New Roman" w:cs="Times New Roman"/>
                      <w:b/>
                      <w:bCs/>
                      <w:color w:val="auto"/>
                      <w:kern w:val="0"/>
                      <w:sz w:val="21"/>
                      <w:szCs w:val="21"/>
                      <w:highlight w:val="none"/>
                      <w:lang w:val="en-US" w:eastAsia="zh-CN" w:bidi="ar"/>
                    </w:rPr>
                    <w:t>固体废物</w:t>
                  </w:r>
                </w:p>
              </w:tc>
              <w:tc>
                <w:tcPr>
                  <w:tcW w:w="3905" w:type="pct"/>
                  <w:vAlign w:val="center"/>
                </w:tcPr>
                <w:p w14:paraId="7687020C">
                  <w:pPr>
                    <w:jc w:val="center"/>
                    <w:rPr>
                      <w:rFonts w:hint="default" w:ascii="Times New Roman" w:hAnsi="Times New Roman" w:eastAsia="宋体" w:cs="Times New Roman"/>
                      <w:color w:val="auto"/>
                      <w:sz w:val="21"/>
                      <w:szCs w:val="21"/>
                      <w:highlight w:val="none"/>
                    </w:rPr>
                  </w:pPr>
                  <w:r>
                    <w:rPr>
                      <w:rFonts w:hint="eastAsia" w:cs="Times New Roman"/>
                      <w:color w:val="auto"/>
                      <w:kern w:val="0"/>
                      <w:sz w:val="21"/>
                      <w:szCs w:val="21"/>
                      <w:highlight w:val="none"/>
                      <w:lang w:val="en-US" w:eastAsia="zh-CN" w:bidi="ar"/>
                    </w:rPr>
                    <w:t>/</w:t>
                  </w:r>
                </w:p>
              </w:tc>
            </w:tr>
            <w:tr w14:paraId="67E2A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4" w:type="pct"/>
                  <w:gridSpan w:val="4"/>
                  <w:vAlign w:val="center"/>
                </w:tcPr>
                <w:p w14:paraId="0CEDD4E7">
                  <w:pPr>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临时工程</w:t>
                  </w:r>
                </w:p>
              </w:tc>
              <w:tc>
                <w:tcPr>
                  <w:tcW w:w="3905" w:type="pct"/>
                  <w:vAlign w:val="center"/>
                </w:tcPr>
                <w:p w14:paraId="1B0D4A28">
                  <w:pPr>
                    <w:jc w:val="center"/>
                    <w:rPr>
                      <w:rFonts w:hint="default" w:ascii="Times New Roman" w:hAnsi="Times New Roman" w:eastAsia="宋体" w:cs="Times New Roman"/>
                      <w:b/>
                      <w:color w:val="auto"/>
                      <w:sz w:val="21"/>
                      <w:szCs w:val="21"/>
                      <w:highlight w:val="none"/>
                      <w:lang w:eastAsia="zh-CN"/>
                    </w:rPr>
                  </w:pPr>
                  <w:r>
                    <w:rPr>
                      <w:rFonts w:hint="eastAsia" w:ascii="Times New Roman" w:hAnsi="Times New Roman" w:cs="Times New Roman"/>
                      <w:color w:val="auto"/>
                      <w:sz w:val="21"/>
                      <w:szCs w:val="21"/>
                      <w:highlight w:val="none"/>
                      <w:lang w:val="en-US" w:eastAsia="zh-CN" w:bidi="ar"/>
                    </w:rPr>
                    <w:t>盘缆场</w:t>
                  </w:r>
                  <w:r>
                    <w:rPr>
                      <w:rFonts w:hint="eastAsia" w:ascii="Times New Roman" w:hAnsi="Times New Roman" w:cs="Times New Roman"/>
                      <w:color w:val="auto"/>
                      <w:sz w:val="21"/>
                      <w:szCs w:val="21"/>
                      <w:highlight w:val="none"/>
                      <w:lang w:eastAsia="zh-CN" w:bidi="ar"/>
                    </w:rPr>
                    <w:t>、</w:t>
                  </w:r>
                  <w:r>
                    <w:rPr>
                      <w:rFonts w:hint="default" w:ascii="Times New Roman" w:hAnsi="Times New Roman" w:cs="Times New Roman"/>
                      <w:color w:val="auto"/>
                      <w:sz w:val="21"/>
                      <w:szCs w:val="21"/>
                      <w:highlight w:val="none"/>
                      <w:lang w:bidi="ar"/>
                    </w:rPr>
                    <w:t>临时施工道路</w:t>
                  </w:r>
                </w:p>
              </w:tc>
            </w:tr>
          </w:tbl>
          <w:p w14:paraId="03DDF1D3">
            <w:pPr>
              <w:keepNext w:val="0"/>
              <w:keepLines w:val="0"/>
              <w:pageBreakBefore w:val="0"/>
              <w:widowControl w:val="0"/>
              <w:kinsoku/>
              <w:wordWrap/>
              <w:overflowPunct/>
              <w:topLinePunct w:val="0"/>
              <w:autoSpaceDE/>
              <w:autoSpaceDN w:val="0"/>
              <w:bidi w:val="0"/>
              <w:adjustRightInd/>
              <w:snapToGrid/>
              <w:spacing w:line="240" w:lineRule="auto"/>
              <w:ind w:firstLine="420" w:firstLineChars="200"/>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备注：*本期对侧间隔工程不涉及新增出线间隔，不新增主要电气设备，因此仅对相关建设内容进行简单介绍，不进行评价。</w:t>
            </w:r>
          </w:p>
          <w:p w14:paraId="3C7B3073">
            <w:pPr>
              <w:autoSpaceDN w:val="0"/>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2.建设规模及主要工程参数</w:t>
            </w:r>
          </w:p>
          <w:p w14:paraId="145232D5">
            <w:pPr>
              <w:autoSpaceDN w:val="0"/>
              <w:adjustRightInd w:val="0"/>
              <w:spacing w:line="360" w:lineRule="auto"/>
              <w:rPr>
                <w:rFonts w:hint="eastAsia" w:ascii="Times New Roman" w:hAnsi="Times New Roman" w:eastAsia="宋体" w:cs="Times New Roman"/>
                <w:b/>
                <w:color w:val="auto"/>
                <w:sz w:val="24"/>
                <w:highlight w:val="none"/>
                <w:lang w:eastAsia="zh-CN"/>
              </w:rPr>
            </w:pPr>
            <w:r>
              <w:rPr>
                <w:rFonts w:hint="default" w:ascii="Times New Roman" w:hAnsi="Times New Roman" w:cs="Times New Roman"/>
                <w:b/>
                <w:color w:val="auto"/>
                <w:sz w:val="24"/>
                <w:highlight w:val="none"/>
                <w:lang w:val="en-US" w:eastAsia="zh-CN"/>
              </w:rPr>
              <w:t>2</w:t>
            </w:r>
            <w:r>
              <w:rPr>
                <w:rFonts w:hint="default" w:ascii="Times New Roman" w:hAnsi="Times New Roman" w:cs="Times New Roman"/>
                <w:b/>
                <w:color w:val="auto"/>
                <w:sz w:val="24"/>
                <w:highlight w:val="none"/>
              </w:rPr>
              <w:t>.</w:t>
            </w:r>
            <w:r>
              <w:rPr>
                <w:rFonts w:hint="eastAsia" w:cs="Times New Roman"/>
                <w:b/>
                <w:color w:val="auto"/>
                <w:sz w:val="24"/>
                <w:highlight w:val="none"/>
                <w:lang w:val="en-US" w:eastAsia="zh-CN"/>
              </w:rPr>
              <w:t>1</w:t>
            </w:r>
            <w:r>
              <w:rPr>
                <w:rFonts w:hint="default" w:ascii="Times New Roman" w:hAnsi="Times New Roman" w:cs="Times New Roman"/>
                <w:b/>
                <w:color w:val="auto"/>
                <w:sz w:val="24"/>
                <w:highlight w:val="none"/>
              </w:rPr>
              <w:t xml:space="preserve"> </w:t>
            </w:r>
            <w:r>
              <w:rPr>
                <w:rFonts w:hint="default" w:ascii="Times New Roman" w:hAnsi="Times New Roman" w:cs="Times New Roman"/>
                <w:b/>
                <w:bCs/>
                <w:color w:val="auto"/>
                <w:kern w:val="0"/>
                <w:sz w:val="21"/>
                <w:szCs w:val="21"/>
                <w:highlight w:val="none"/>
                <w:lang w:bidi="ar"/>
              </w:rPr>
              <w:t>白沙站T接茅洲~柳北110千伏线路工程</w:t>
            </w:r>
          </w:p>
          <w:p w14:paraId="7C3594C6">
            <w:pPr>
              <w:pStyle w:val="120"/>
              <w:ind w:firstLine="0" w:firstLineChars="0"/>
              <w:rPr>
                <w:rFonts w:hint="default" w:ascii="Times New Roman" w:hAnsi="Times New Roman" w:cs="Times New Roman"/>
                <w:color w:val="auto"/>
                <w:highlight w:val="none"/>
              </w:rPr>
            </w:pPr>
            <w:r>
              <w:rPr>
                <w:rFonts w:hint="default" w:ascii="Times New Roman" w:hAnsi="Times New Roman" w:cs="Times New Roman"/>
                <w:b/>
                <w:bCs/>
                <w:color w:val="auto"/>
                <w:highlight w:val="none"/>
                <w:lang w:val="en-US" w:eastAsia="zh-CN"/>
              </w:rPr>
              <w:t>2</w:t>
            </w:r>
            <w:r>
              <w:rPr>
                <w:rFonts w:hint="default" w:ascii="Times New Roman" w:hAnsi="Times New Roman" w:cs="Times New Roman"/>
                <w:b/>
                <w:bCs/>
                <w:color w:val="auto"/>
                <w:highlight w:val="none"/>
              </w:rPr>
              <w:t>.</w:t>
            </w:r>
            <w:r>
              <w:rPr>
                <w:rFonts w:hint="eastAsia" w:cs="Times New Roman"/>
                <w:b/>
                <w:bCs/>
                <w:color w:val="auto"/>
                <w:highlight w:val="none"/>
                <w:lang w:val="en-US" w:eastAsia="zh-CN"/>
              </w:rPr>
              <w:t>1</w:t>
            </w:r>
            <w:r>
              <w:rPr>
                <w:rFonts w:hint="default" w:ascii="Times New Roman" w:hAnsi="Times New Roman" w:cs="Times New Roman"/>
                <w:b/>
                <w:bCs/>
                <w:color w:val="auto"/>
                <w:highlight w:val="none"/>
              </w:rPr>
              <w:t>.1建设规模</w:t>
            </w:r>
          </w:p>
          <w:p w14:paraId="467C4BA9">
            <w:pPr>
              <w:pStyle w:val="120"/>
              <w:ind w:firstLine="480"/>
              <w:rPr>
                <w:rFonts w:hint="default" w:ascii="Times New Roman" w:hAnsi="Times New Roman" w:cs="Times New Roman"/>
                <w:color w:val="auto"/>
                <w:highlight w:val="none"/>
                <w:lang w:eastAsia="zh-CN"/>
              </w:rPr>
            </w:pPr>
            <w:r>
              <w:rPr>
                <w:rFonts w:hint="eastAsia" w:cs="Times New Roman"/>
                <w:color w:val="auto"/>
                <w:highlight w:val="none"/>
                <w:lang w:val="en-US" w:eastAsia="zh-CN"/>
              </w:rPr>
              <w:t>新建</w:t>
            </w:r>
            <w:r>
              <w:rPr>
                <w:rFonts w:hint="default" w:ascii="Times New Roman" w:hAnsi="Times New Roman" w:cs="Times New Roman"/>
                <w:color w:val="auto"/>
                <w:highlight w:val="none"/>
                <w:lang w:eastAsia="zh-CN"/>
              </w:rPr>
              <w:t>线路起自110</w:t>
            </w:r>
            <w:r>
              <w:rPr>
                <w:rFonts w:hint="eastAsia" w:cs="Times New Roman"/>
                <w:color w:val="auto"/>
                <w:highlight w:val="none"/>
                <w:lang w:eastAsia="zh-CN"/>
              </w:rPr>
              <w:t>kV</w:t>
            </w:r>
            <w:r>
              <w:rPr>
                <w:rFonts w:hint="default" w:ascii="Times New Roman" w:hAnsi="Times New Roman" w:cs="Times New Roman"/>
                <w:color w:val="auto"/>
                <w:highlight w:val="none"/>
                <w:lang w:eastAsia="zh-CN"/>
              </w:rPr>
              <w:t>白沙</w:t>
            </w:r>
            <w:r>
              <w:rPr>
                <w:rFonts w:hint="eastAsia" w:cs="Times New Roman"/>
                <w:color w:val="auto"/>
                <w:highlight w:val="none"/>
                <w:lang w:val="en-US" w:eastAsia="zh-CN"/>
              </w:rPr>
              <w:t>变电站</w:t>
            </w:r>
            <w:r>
              <w:rPr>
                <w:rFonts w:hint="default" w:ascii="Times New Roman" w:hAnsi="Times New Roman" w:cs="Times New Roman"/>
                <w:color w:val="auto"/>
                <w:highlight w:val="none"/>
                <w:lang w:eastAsia="zh-CN"/>
              </w:rPr>
              <w:t>，终至110kV柳黄北茅线#18塔</w:t>
            </w:r>
            <w:r>
              <w:rPr>
                <w:rFonts w:hint="eastAsia" w:cs="Times New Roman"/>
                <w:color w:val="auto"/>
                <w:highlight w:val="none"/>
                <w:lang w:eastAsia="zh-CN"/>
              </w:rPr>
              <w:t>。</w:t>
            </w:r>
            <w:r>
              <w:rPr>
                <w:rFonts w:hint="default" w:ascii="Times New Roman" w:hAnsi="Times New Roman" w:cs="Times New Roman"/>
                <w:color w:val="auto"/>
                <w:highlight w:val="none"/>
                <w:lang w:eastAsia="zh-CN"/>
              </w:rPr>
              <w:t>电缆线路路径长约2.5km</w:t>
            </w:r>
            <w:r>
              <w:rPr>
                <w:rFonts w:hint="eastAsia" w:cs="Times New Roman"/>
                <w:color w:val="auto"/>
                <w:highlight w:val="none"/>
                <w:lang w:eastAsia="zh-CN"/>
              </w:rPr>
              <w:t>。</w:t>
            </w:r>
            <w:r>
              <w:rPr>
                <w:rFonts w:hint="default" w:ascii="Times New Roman" w:hAnsi="Times New Roman" w:cs="Times New Roman"/>
                <w:color w:val="auto"/>
                <w:highlight w:val="none"/>
                <w:lang w:eastAsia="zh-CN"/>
              </w:rPr>
              <w:t>其中</w:t>
            </w:r>
            <w:r>
              <w:rPr>
                <w:rFonts w:hint="eastAsia" w:cs="Times New Roman"/>
                <w:color w:val="auto"/>
                <w:highlight w:val="none"/>
                <w:lang w:eastAsia="zh-CN"/>
              </w:rPr>
              <w:t>，</w:t>
            </w:r>
            <w:r>
              <w:rPr>
                <w:rFonts w:hint="default" w:ascii="Times New Roman" w:hAnsi="Times New Roman" w:cs="Times New Roman"/>
                <w:color w:val="auto"/>
                <w:highlight w:val="none"/>
                <w:lang w:eastAsia="zh-CN"/>
              </w:rPr>
              <w:t>新建电缆沟</w:t>
            </w:r>
            <w:r>
              <w:rPr>
                <w:rFonts w:hint="eastAsia" w:cs="Times New Roman"/>
                <w:color w:val="auto"/>
                <w:highlight w:val="none"/>
                <w:lang w:val="en-US" w:eastAsia="zh-CN"/>
              </w:rPr>
              <w:t>敷设</w:t>
            </w:r>
            <w:r>
              <w:rPr>
                <w:rFonts w:hint="default" w:ascii="Times New Roman" w:hAnsi="Times New Roman" w:cs="Times New Roman"/>
                <w:color w:val="auto"/>
                <w:highlight w:val="none"/>
                <w:lang w:eastAsia="zh-CN"/>
              </w:rPr>
              <w:t>0.2km，利用市政预留电力管沟通道敷设2.3km。</w:t>
            </w:r>
          </w:p>
          <w:p w14:paraId="166C9BF1">
            <w:pPr>
              <w:pStyle w:val="123"/>
              <w:ind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w:t>
            </w:r>
            <w:r>
              <w:rPr>
                <w:rFonts w:hint="eastAsia" w:cs="Times New Roman"/>
                <w:color w:val="auto"/>
                <w:szCs w:val="21"/>
                <w:highlight w:val="none"/>
                <w:lang w:val="en-US" w:eastAsia="zh-CN"/>
              </w:rPr>
              <w:t>电缆</w:t>
            </w:r>
            <w:r>
              <w:rPr>
                <w:rFonts w:hint="default" w:ascii="Times New Roman" w:hAnsi="Times New Roman" w:cs="Times New Roman"/>
                <w:color w:val="auto"/>
                <w:szCs w:val="21"/>
                <w:highlight w:val="none"/>
              </w:rPr>
              <w:t>型号</w:t>
            </w:r>
          </w:p>
          <w:p w14:paraId="5B5B2449">
            <w:pPr>
              <w:pStyle w:val="120"/>
              <w:ind w:firstLine="48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电缆型号为ZRA-YJLW02-Z-64/110-1×500mm</w:t>
            </w:r>
            <w:r>
              <w:rPr>
                <w:rFonts w:hint="eastAsia" w:cs="Times New Roman"/>
                <w:color w:val="auto"/>
                <w:highlight w:val="none"/>
                <w:vertAlign w:val="superscript"/>
                <w:lang w:val="en-US" w:eastAsia="zh-CN"/>
              </w:rPr>
              <w:t>2</w:t>
            </w:r>
            <w:r>
              <w:rPr>
                <w:rFonts w:hint="default" w:ascii="Times New Roman" w:hAnsi="Times New Roman" w:cs="Times New Roman"/>
                <w:color w:val="auto"/>
                <w:highlight w:val="none"/>
              </w:rPr>
              <w:t>交联聚乙烯绝缘皱纹铝护套聚乙烯外护套纵向阻水阻燃电力电缆</w:t>
            </w:r>
            <w:r>
              <w:rPr>
                <w:rFonts w:hint="default" w:ascii="Times New Roman" w:hAnsi="Times New Roman" w:cs="Times New Roman"/>
                <w:color w:val="auto"/>
                <w:highlight w:val="none"/>
                <w:lang w:val="en-US" w:eastAsia="zh-CN"/>
              </w:rPr>
              <w:t>。</w:t>
            </w:r>
          </w:p>
          <w:p w14:paraId="6DA7CC6D">
            <w:pPr>
              <w:pStyle w:val="120"/>
              <w:ind w:firstLine="480"/>
              <w:rPr>
                <w:bCs/>
                <w:color w:val="auto"/>
                <w:highlight w:val="none"/>
              </w:rPr>
            </w:pPr>
            <w:r>
              <w:rPr>
                <w:rFonts w:hint="default" w:ascii="Times New Roman" w:hAnsi="Times New Roman" w:cs="Times New Roman"/>
                <w:bCs/>
                <w:color w:val="auto"/>
                <w:highlight w:val="none"/>
              </w:rPr>
              <w:t>本工程</w:t>
            </w:r>
            <w:r>
              <w:rPr>
                <w:rFonts w:hint="eastAsia" w:ascii="宋体" w:hAnsi="等线" w:cs="宋体"/>
                <w:color w:val="auto"/>
                <w:kern w:val="0"/>
                <w:highlight w:val="none"/>
              </w:rPr>
              <w:t>电缆主要技术参数</w:t>
            </w:r>
            <w:r>
              <w:rPr>
                <w:bCs/>
                <w:color w:val="auto"/>
                <w:highlight w:val="none"/>
              </w:rPr>
              <w:t>见表2-</w:t>
            </w:r>
            <w:r>
              <w:rPr>
                <w:rFonts w:hint="eastAsia"/>
                <w:bCs/>
                <w:color w:val="auto"/>
                <w:highlight w:val="none"/>
                <w:lang w:val="en-US" w:eastAsia="zh-CN"/>
              </w:rPr>
              <w:t>2</w:t>
            </w:r>
            <w:r>
              <w:rPr>
                <w:bCs/>
                <w:color w:val="auto"/>
                <w:highlight w:val="none"/>
              </w:rPr>
              <w:t>。</w:t>
            </w:r>
          </w:p>
          <w:p w14:paraId="59AB6D10">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center"/>
              <w:textAlignment w:val="auto"/>
              <w:rPr>
                <w:rFonts w:hint="eastAsia"/>
                <w:b/>
                <w:bCs/>
                <w:color w:val="auto"/>
                <w:sz w:val="24"/>
                <w:szCs w:val="24"/>
                <w:highlight w:val="none"/>
              </w:rPr>
            </w:pPr>
            <w:r>
              <w:rPr>
                <w:b/>
                <w:bCs/>
                <w:color w:val="auto"/>
                <w:sz w:val="24"/>
                <w:szCs w:val="24"/>
                <w:highlight w:val="none"/>
              </w:rPr>
              <w:t xml:space="preserve">  </w:t>
            </w:r>
            <w:r>
              <w:rPr>
                <w:rFonts w:hint="eastAsia"/>
                <w:b/>
                <w:bCs/>
                <w:color w:val="auto"/>
                <w:sz w:val="24"/>
                <w:szCs w:val="24"/>
                <w:highlight w:val="none"/>
              </w:rPr>
              <w:t>电缆主要技术参数表</w:t>
            </w:r>
          </w:p>
          <w:tbl>
            <w:tblPr>
              <w:tblStyle w:val="267"/>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659"/>
              <w:gridCol w:w="1149"/>
              <w:gridCol w:w="3907"/>
            </w:tblGrid>
            <w:tr w14:paraId="2EDAD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jc w:val="center"/>
              </w:trPr>
              <w:tc>
                <w:tcPr>
                  <w:tcW w:w="2099" w:type="pct"/>
                  <w:vAlign w:val="center"/>
                </w:tcPr>
                <w:p w14:paraId="5BE85645">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9"/>
                      <w:sz w:val="21"/>
                      <w:szCs w:val="21"/>
                      <w:highlight w:val="none"/>
                    </w:rPr>
                    <w:t>项目</w:t>
                  </w:r>
                </w:p>
              </w:tc>
              <w:tc>
                <w:tcPr>
                  <w:tcW w:w="659" w:type="pct"/>
                  <w:vAlign w:val="center"/>
                </w:tcPr>
                <w:p w14:paraId="51A29702">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5"/>
                      <w:sz w:val="21"/>
                      <w:szCs w:val="21"/>
                      <w:highlight w:val="none"/>
                    </w:rPr>
                    <w:t>单位</w:t>
                  </w:r>
                </w:p>
              </w:tc>
              <w:tc>
                <w:tcPr>
                  <w:tcW w:w="2241" w:type="pct"/>
                  <w:vAlign w:val="center"/>
                </w:tcPr>
                <w:p w14:paraId="472768E7">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ZRA-YJLW02-Z-64/110kV-1×500</w:t>
                  </w:r>
                </w:p>
              </w:tc>
            </w:tr>
            <w:tr w14:paraId="0C804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jc w:val="center"/>
              </w:trPr>
              <w:tc>
                <w:tcPr>
                  <w:tcW w:w="2099" w:type="pct"/>
                  <w:vAlign w:val="center"/>
                </w:tcPr>
                <w:p w14:paraId="56416975">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导体直径</w:t>
                  </w:r>
                </w:p>
              </w:tc>
              <w:tc>
                <w:tcPr>
                  <w:tcW w:w="659" w:type="pct"/>
                  <w:vAlign w:val="center"/>
                </w:tcPr>
                <w:p w14:paraId="567655DA">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mm</w:t>
                  </w:r>
                </w:p>
              </w:tc>
              <w:tc>
                <w:tcPr>
                  <w:tcW w:w="2241" w:type="pct"/>
                  <w:vAlign w:val="center"/>
                </w:tcPr>
                <w:p w14:paraId="1108EFAD">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26.4</w:t>
                  </w:r>
                </w:p>
              </w:tc>
            </w:tr>
            <w:tr w14:paraId="12AB1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jc w:val="center"/>
              </w:trPr>
              <w:tc>
                <w:tcPr>
                  <w:tcW w:w="2099" w:type="pct"/>
                  <w:vAlign w:val="center"/>
                </w:tcPr>
                <w:p w14:paraId="5ACC327C">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4"/>
                      <w:sz w:val="21"/>
                      <w:szCs w:val="21"/>
                      <w:highlight w:val="none"/>
                    </w:rPr>
                    <w:t>绝缘厚度</w:t>
                  </w:r>
                </w:p>
              </w:tc>
              <w:tc>
                <w:tcPr>
                  <w:tcW w:w="659" w:type="pct"/>
                  <w:vAlign w:val="center"/>
                </w:tcPr>
                <w:p w14:paraId="36BE6B04">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mm</w:t>
                  </w:r>
                </w:p>
              </w:tc>
              <w:tc>
                <w:tcPr>
                  <w:tcW w:w="2241" w:type="pct"/>
                  <w:vAlign w:val="center"/>
                </w:tcPr>
                <w:p w14:paraId="2914CF83">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4"/>
                      <w:sz w:val="21"/>
                      <w:szCs w:val="21"/>
                      <w:highlight w:val="none"/>
                    </w:rPr>
                    <w:t>17.0</w:t>
                  </w:r>
                </w:p>
              </w:tc>
            </w:tr>
            <w:tr w14:paraId="45FDE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jc w:val="center"/>
              </w:trPr>
              <w:tc>
                <w:tcPr>
                  <w:tcW w:w="2099" w:type="pct"/>
                  <w:vAlign w:val="center"/>
                </w:tcPr>
                <w:p w14:paraId="36A026AD">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皱纹铝护套厚度</w:t>
                  </w:r>
                </w:p>
              </w:tc>
              <w:tc>
                <w:tcPr>
                  <w:tcW w:w="659" w:type="pct"/>
                  <w:vAlign w:val="center"/>
                </w:tcPr>
                <w:p w14:paraId="42F711D8">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mm</w:t>
                  </w:r>
                </w:p>
              </w:tc>
              <w:tc>
                <w:tcPr>
                  <w:tcW w:w="2241" w:type="pct"/>
                  <w:vAlign w:val="center"/>
                </w:tcPr>
                <w:p w14:paraId="5C1A7C66">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5"/>
                      <w:sz w:val="21"/>
                      <w:szCs w:val="21"/>
                      <w:highlight w:val="none"/>
                    </w:rPr>
                    <w:t>2.0</w:t>
                  </w:r>
                </w:p>
              </w:tc>
            </w:tr>
            <w:tr w14:paraId="217C2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jc w:val="center"/>
              </w:trPr>
              <w:tc>
                <w:tcPr>
                  <w:tcW w:w="2099" w:type="pct"/>
                  <w:vAlign w:val="center"/>
                </w:tcPr>
                <w:p w14:paraId="7D79E1D4">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外护套厚度</w:t>
                  </w:r>
                </w:p>
              </w:tc>
              <w:tc>
                <w:tcPr>
                  <w:tcW w:w="659" w:type="pct"/>
                  <w:vAlign w:val="center"/>
                </w:tcPr>
                <w:p w14:paraId="0930217C">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mm</w:t>
                  </w:r>
                </w:p>
              </w:tc>
              <w:tc>
                <w:tcPr>
                  <w:tcW w:w="2241" w:type="pct"/>
                  <w:vAlign w:val="center"/>
                </w:tcPr>
                <w:p w14:paraId="6766CB2F">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4"/>
                      <w:sz w:val="21"/>
                      <w:szCs w:val="21"/>
                      <w:highlight w:val="none"/>
                    </w:rPr>
                    <w:t>4.0</w:t>
                  </w:r>
                </w:p>
              </w:tc>
            </w:tr>
            <w:tr w14:paraId="638E5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jc w:val="center"/>
              </w:trPr>
              <w:tc>
                <w:tcPr>
                  <w:tcW w:w="2099" w:type="pct"/>
                  <w:vAlign w:val="center"/>
                </w:tcPr>
                <w:p w14:paraId="6A39BF0D">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电缆近似外径</w:t>
                  </w:r>
                </w:p>
              </w:tc>
              <w:tc>
                <w:tcPr>
                  <w:tcW w:w="659" w:type="pct"/>
                  <w:vAlign w:val="center"/>
                </w:tcPr>
                <w:p w14:paraId="13CAECD8">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mm</w:t>
                  </w:r>
                </w:p>
              </w:tc>
              <w:tc>
                <w:tcPr>
                  <w:tcW w:w="2241" w:type="pct"/>
                  <w:vAlign w:val="center"/>
                </w:tcPr>
                <w:p w14:paraId="24F65E5D">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90.3</w:t>
                  </w:r>
                </w:p>
              </w:tc>
            </w:tr>
            <w:tr w14:paraId="4AD91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jc w:val="center"/>
              </w:trPr>
              <w:tc>
                <w:tcPr>
                  <w:tcW w:w="2099" w:type="pct"/>
                  <w:vAlign w:val="center"/>
                </w:tcPr>
                <w:p w14:paraId="3BF2CDBF">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电缆近似重量</w:t>
                  </w:r>
                </w:p>
              </w:tc>
              <w:tc>
                <w:tcPr>
                  <w:tcW w:w="659" w:type="pct"/>
                  <w:vAlign w:val="center"/>
                </w:tcPr>
                <w:p w14:paraId="4FC51B0E">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kg/m</w:t>
                  </w:r>
                </w:p>
              </w:tc>
              <w:tc>
                <w:tcPr>
                  <w:tcW w:w="2241" w:type="pct"/>
                  <w:vAlign w:val="center"/>
                </w:tcPr>
                <w:p w14:paraId="0FE6DE47">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5"/>
                      <w:sz w:val="21"/>
                      <w:szCs w:val="21"/>
                      <w:highlight w:val="none"/>
                    </w:rPr>
                    <w:t>9.8</w:t>
                  </w:r>
                </w:p>
              </w:tc>
            </w:tr>
            <w:tr w14:paraId="1FAE0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jc w:val="center"/>
              </w:trPr>
              <w:tc>
                <w:tcPr>
                  <w:tcW w:w="2099" w:type="pct"/>
                  <w:vAlign w:val="center"/>
                </w:tcPr>
                <w:p w14:paraId="765168FB">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-20℃时导体直流电阻</w:t>
                  </w:r>
                </w:p>
              </w:tc>
              <w:tc>
                <w:tcPr>
                  <w:tcW w:w="659" w:type="pct"/>
                  <w:vAlign w:val="center"/>
                </w:tcPr>
                <w:p w14:paraId="626F889F">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0"/>
                      <w:sz w:val="21"/>
                      <w:szCs w:val="21"/>
                      <w:highlight w:val="none"/>
                    </w:rPr>
                    <w:t>Ω/km</w:t>
                  </w:r>
                </w:p>
              </w:tc>
              <w:tc>
                <w:tcPr>
                  <w:tcW w:w="2241" w:type="pct"/>
                  <w:vAlign w:val="center"/>
                </w:tcPr>
                <w:p w14:paraId="5B440C1F">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0.0366</w:t>
                  </w:r>
                </w:p>
              </w:tc>
            </w:tr>
            <w:tr w14:paraId="1AC9C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jc w:val="center"/>
              </w:trPr>
              <w:tc>
                <w:tcPr>
                  <w:tcW w:w="2099" w:type="pct"/>
                  <w:vAlign w:val="center"/>
                </w:tcPr>
                <w:p w14:paraId="0612ECCB">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-20℃时皱纹铝护套直流电阻</w:t>
                  </w:r>
                </w:p>
              </w:tc>
              <w:tc>
                <w:tcPr>
                  <w:tcW w:w="659" w:type="pct"/>
                  <w:vAlign w:val="center"/>
                </w:tcPr>
                <w:p w14:paraId="28D4FE6A">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0"/>
                      <w:sz w:val="21"/>
                      <w:szCs w:val="21"/>
                      <w:highlight w:val="none"/>
                    </w:rPr>
                    <w:t>Ω/km</w:t>
                  </w:r>
                </w:p>
              </w:tc>
              <w:tc>
                <w:tcPr>
                  <w:tcW w:w="2241" w:type="pct"/>
                  <w:vAlign w:val="center"/>
                </w:tcPr>
                <w:p w14:paraId="08077419">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0.0635</w:t>
                  </w:r>
                </w:p>
              </w:tc>
            </w:tr>
            <w:tr w14:paraId="29BBF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jc w:val="center"/>
              </w:trPr>
              <w:tc>
                <w:tcPr>
                  <w:tcW w:w="2099" w:type="pct"/>
                  <w:vAlign w:val="center"/>
                </w:tcPr>
                <w:p w14:paraId="005A744E">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最小允许弯曲半径</w:t>
                  </w:r>
                </w:p>
              </w:tc>
              <w:tc>
                <w:tcPr>
                  <w:tcW w:w="659" w:type="pct"/>
                  <w:vAlign w:val="center"/>
                </w:tcPr>
                <w:p w14:paraId="36F90F59">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mm</w:t>
                  </w:r>
                </w:p>
              </w:tc>
              <w:tc>
                <w:tcPr>
                  <w:tcW w:w="2241" w:type="pct"/>
                  <w:vAlign w:val="center"/>
                </w:tcPr>
                <w:p w14:paraId="3A28C408">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4"/>
                      <w:sz w:val="21"/>
                      <w:szCs w:val="21"/>
                      <w:highlight w:val="none"/>
                    </w:rPr>
                    <w:t>1350</w:t>
                  </w:r>
                </w:p>
              </w:tc>
            </w:tr>
            <w:tr w14:paraId="75040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jc w:val="center"/>
              </w:trPr>
              <w:tc>
                <w:tcPr>
                  <w:tcW w:w="2099" w:type="pct"/>
                  <w:vAlign w:val="center"/>
                </w:tcPr>
                <w:p w14:paraId="12D7B477">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导体最高连续工作温度</w:t>
                  </w:r>
                </w:p>
              </w:tc>
              <w:tc>
                <w:tcPr>
                  <w:tcW w:w="659" w:type="pct"/>
                  <w:vAlign w:val="center"/>
                </w:tcPr>
                <w:p w14:paraId="30BB491D">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241" w:type="pct"/>
                  <w:vAlign w:val="center"/>
                </w:tcPr>
                <w:p w14:paraId="4BC7B9F6">
                  <w:pPr>
                    <w:pStyle w:val="26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4"/>
                      <w:sz w:val="21"/>
                      <w:szCs w:val="21"/>
                      <w:highlight w:val="none"/>
                    </w:rPr>
                    <w:t>90</w:t>
                  </w:r>
                </w:p>
              </w:tc>
            </w:tr>
          </w:tbl>
          <w:p w14:paraId="459BB89D">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textAlignment w:val="auto"/>
              <w:rPr>
                <w:rFonts w:hint="default" w:ascii="Times New Roman" w:hAnsi="Times New Roman" w:eastAsia="宋体" w:cs="Times New Roman"/>
                <w:b/>
                <w:bCs/>
                <w:color w:val="auto"/>
                <w:sz w:val="24"/>
                <w:szCs w:val="24"/>
                <w:highlight w:val="none"/>
                <w:lang w:val="en-US" w:eastAsia="zh-CN"/>
              </w:rPr>
            </w:pPr>
          </w:p>
          <w:p w14:paraId="63DD291F">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textAlignment w:val="auto"/>
              <w:rPr>
                <w:rFonts w:hint="default" w:ascii="Times New Roman" w:hAnsi="Times New Roman" w:eastAsia="宋体" w:cs="Times New Roman"/>
                <w:b/>
                <w:bCs/>
                <w:color w:val="auto"/>
                <w:sz w:val="24"/>
                <w:highlight w:val="none"/>
                <w:lang w:eastAsia="zh-CN"/>
              </w:rPr>
            </w:pPr>
            <w:r>
              <w:rPr>
                <w:rFonts w:hint="default" w:ascii="Times New Roman" w:hAnsi="Times New Roman" w:eastAsia="宋体" w:cs="Times New Roman"/>
                <w:b/>
                <w:bCs/>
                <w:color w:val="auto"/>
                <w:sz w:val="24"/>
                <w:szCs w:val="24"/>
                <w:highlight w:val="none"/>
                <w:lang w:val="en-US" w:eastAsia="zh-CN"/>
              </w:rPr>
              <w:t>2.</w:t>
            </w:r>
            <w:r>
              <w:rPr>
                <w:rFonts w:hint="eastAsia" w:ascii="Times New Roman" w:hAnsi="Times New Roman" w:eastAsia="宋体" w:cs="Times New Roman"/>
                <w:b/>
                <w:bCs/>
                <w:color w:val="auto"/>
                <w:sz w:val="24"/>
                <w:szCs w:val="24"/>
                <w:highlight w:val="none"/>
                <w:lang w:val="en-US" w:eastAsia="zh-CN"/>
              </w:rPr>
              <w:t xml:space="preserve">2.3 </w:t>
            </w:r>
            <w:r>
              <w:rPr>
                <w:rFonts w:hint="default" w:ascii="Times New Roman" w:hAnsi="Times New Roman" w:eastAsia="宋体" w:cs="Times New Roman"/>
                <w:b/>
                <w:bCs/>
                <w:color w:val="auto"/>
                <w:sz w:val="24"/>
                <w:highlight w:val="none"/>
                <w:lang w:eastAsia="zh-CN"/>
              </w:rPr>
              <w:t>电缆敷设方式</w:t>
            </w:r>
          </w:p>
          <w:p w14:paraId="1ACD06B3">
            <w:pPr>
              <w:autoSpaceDN w:val="0"/>
              <w:adjustRightInd w:val="0"/>
              <w:spacing w:line="360" w:lineRule="auto"/>
              <w:ind w:firstLine="480" w:firstLineChars="20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sz w:val="24"/>
                <w:highlight w:val="none"/>
                <w:lang w:val="en-US" w:eastAsia="zh-CN"/>
              </w:rPr>
              <w:t>本工程</w:t>
            </w:r>
            <w:r>
              <w:rPr>
                <w:rFonts w:hint="eastAsia" w:ascii="Times New Roman" w:hAnsi="Times New Roman" w:eastAsia="宋体" w:cs="Times New Roman"/>
                <w:color w:val="auto"/>
                <w:sz w:val="24"/>
                <w:highlight w:val="none"/>
              </w:rPr>
              <w:t>新建电缆线路路径长度约</w:t>
            </w:r>
            <w:r>
              <w:rPr>
                <w:rFonts w:hint="eastAsia" w:ascii="Times New Roman" w:hAnsi="Times New Roman" w:eastAsia="宋体" w:cs="Times New Roman"/>
                <w:color w:val="auto"/>
                <w:sz w:val="24"/>
                <w:highlight w:val="none"/>
                <w:lang w:val="en-US" w:eastAsia="zh-CN"/>
              </w:rPr>
              <w:t>0.</w:t>
            </w:r>
            <w:r>
              <w:rPr>
                <w:rFonts w:hint="eastAsia" w:cs="Times New Roman"/>
                <w:color w:val="auto"/>
                <w:sz w:val="24"/>
                <w:highlight w:val="none"/>
                <w:lang w:val="en-US" w:eastAsia="zh-CN"/>
              </w:rPr>
              <w:t>2</w:t>
            </w:r>
            <w:r>
              <w:rPr>
                <w:rFonts w:hint="eastAsia" w:ascii="Times New Roman" w:hAnsi="Times New Roman" w:eastAsia="宋体" w:cs="Times New Roman"/>
                <w:color w:val="auto"/>
                <w:sz w:val="24"/>
                <w:highlight w:val="none"/>
              </w:rPr>
              <w:t>km</w:t>
            </w:r>
            <w:r>
              <w:rPr>
                <w:rFonts w:hint="eastAsia" w:cs="Times New Roman"/>
                <w:color w:val="auto"/>
                <w:sz w:val="24"/>
                <w:highlight w:val="none"/>
                <w:lang w:eastAsia="zh-CN"/>
              </w:rPr>
              <w:t>，</w:t>
            </w:r>
            <w:r>
              <w:rPr>
                <w:rFonts w:hint="eastAsia" w:cs="Times New Roman"/>
                <w:color w:val="auto"/>
                <w:sz w:val="24"/>
                <w:highlight w:val="none"/>
                <w:lang w:val="en-US" w:eastAsia="zh-CN"/>
              </w:rPr>
              <w:t>采用埋管敷设</w:t>
            </w: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埋管</w:t>
            </w:r>
            <w:r>
              <w:rPr>
                <w:rFonts w:hint="default" w:ascii="Times New Roman" w:hAnsi="Times New Roman" w:eastAsia="宋体" w:cs="Times New Roman"/>
                <w:color w:val="auto"/>
                <w:sz w:val="24"/>
                <w:szCs w:val="24"/>
                <w:highlight w:val="none"/>
                <w:lang w:val="en-US" w:eastAsia="zh-CN"/>
              </w:rPr>
              <w:t>参数一览表见表2-</w:t>
            </w:r>
            <w:r>
              <w:rPr>
                <w:rFonts w:hint="eastAsia" w:cs="Times New Roman"/>
                <w:color w:val="auto"/>
                <w:sz w:val="24"/>
                <w:szCs w:val="24"/>
                <w:highlight w:val="none"/>
                <w:lang w:val="en-US" w:eastAsia="zh-CN"/>
              </w:rPr>
              <w:t>3</w:t>
            </w:r>
            <w:r>
              <w:rPr>
                <w:rFonts w:hint="default" w:ascii="Times New Roman" w:hAnsi="Times New Roman" w:eastAsia="宋体" w:cs="Times New Roman"/>
                <w:color w:val="auto"/>
                <w:highlight w:val="none"/>
                <w:lang w:val="en-US" w:eastAsia="zh-CN"/>
              </w:rPr>
              <w:t>。</w:t>
            </w:r>
          </w:p>
          <w:p w14:paraId="34938CCD">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 xml:space="preserve">  本项目埋管参数一览表</w:t>
            </w:r>
          </w:p>
          <w:tbl>
            <w:tblPr>
              <w:tblStyle w:val="4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8"/>
              <w:gridCol w:w="3614"/>
              <w:gridCol w:w="2633"/>
            </w:tblGrid>
            <w:tr w14:paraId="59F09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416" w:type="pct"/>
                  <w:noWrap w:val="0"/>
                  <w:vAlign w:val="center"/>
                </w:tcPr>
                <w:p w14:paraId="3C26F09A">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tLeast"/>
                    <w:ind w:right="0" w:right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建筑物名称</w:t>
                  </w:r>
                </w:p>
              </w:tc>
              <w:tc>
                <w:tcPr>
                  <w:tcW w:w="2073" w:type="pct"/>
                  <w:noWrap w:val="0"/>
                  <w:vAlign w:val="center"/>
                </w:tcPr>
                <w:p w14:paraId="1804EDCB">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tLeast"/>
                    <w:ind w:right="0" w:right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结构内尺寸</w:t>
                  </w:r>
                  <w:r>
                    <w:rPr>
                      <w:rFonts w:hint="eastAsia" w:ascii="Times New Roman" w:hAnsi="Times New Roman" w:eastAsia="宋体" w:cs="Times New Roman"/>
                      <w:b/>
                      <w:bCs/>
                      <w:color w:val="auto"/>
                      <w:sz w:val="21"/>
                      <w:szCs w:val="21"/>
                      <w:highlight w:val="none"/>
                      <w:vertAlign w:val="baseline"/>
                      <w:lang w:val="en-US" w:eastAsia="zh-CN"/>
                    </w:rPr>
                    <w:t>（</w:t>
                  </w:r>
                  <w:r>
                    <w:rPr>
                      <w:rFonts w:hint="default" w:ascii="Times New Roman" w:hAnsi="Times New Roman" w:eastAsia="宋体" w:cs="Times New Roman"/>
                      <w:b/>
                      <w:bCs/>
                      <w:color w:val="auto"/>
                      <w:sz w:val="21"/>
                      <w:szCs w:val="21"/>
                      <w:highlight w:val="none"/>
                      <w:vertAlign w:val="baseline"/>
                      <w:lang w:val="en-US" w:eastAsia="zh-CN"/>
                    </w:rPr>
                    <w:t>宽×高</w:t>
                  </w:r>
                  <w:r>
                    <w:rPr>
                      <w:rFonts w:hint="eastAsia" w:ascii="Times New Roman" w:hAnsi="Times New Roman" w:eastAsia="宋体" w:cs="Times New Roman"/>
                      <w:b/>
                      <w:bCs/>
                      <w:color w:val="auto"/>
                      <w:sz w:val="21"/>
                      <w:szCs w:val="21"/>
                      <w:highlight w:val="none"/>
                      <w:vertAlign w:val="baseline"/>
                      <w:lang w:val="en-US" w:eastAsia="zh-CN"/>
                    </w:rPr>
                    <w:t>）</w:t>
                  </w:r>
                </w:p>
              </w:tc>
              <w:tc>
                <w:tcPr>
                  <w:tcW w:w="1510" w:type="pct"/>
                  <w:noWrap w:val="0"/>
                  <w:vAlign w:val="center"/>
                </w:tcPr>
                <w:p w14:paraId="7DF16F33">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tLeast"/>
                    <w:ind w:left="0" w:leftChars="0" w:right="0" w:rightChars="0" w:firstLine="0" w:firstLineChars="0"/>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sz w:val="21"/>
                      <w:szCs w:val="21"/>
                      <w:highlight w:val="none"/>
                      <w:vertAlign w:val="baseline"/>
                      <w:lang w:val="en-US" w:eastAsia="zh-CN"/>
                    </w:rPr>
                    <w:t>长度</w:t>
                  </w:r>
                </w:p>
              </w:tc>
            </w:tr>
            <w:tr w14:paraId="4B27B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16" w:type="pct"/>
                  <w:shd w:val="clear" w:color="auto" w:fill="auto"/>
                  <w:noWrap w:val="0"/>
                  <w:vAlign w:val="center"/>
                </w:tcPr>
                <w:p w14:paraId="2FAEA0B6">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tLeas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埋管</w:t>
                  </w:r>
                </w:p>
              </w:tc>
              <w:tc>
                <w:tcPr>
                  <w:tcW w:w="2073" w:type="pct"/>
                  <w:shd w:val="clear" w:color="auto" w:fill="auto"/>
                  <w:noWrap w:val="0"/>
                  <w:vAlign w:val="center"/>
                </w:tcPr>
                <w:p w14:paraId="216CFE20">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tLeast"/>
                    <w:ind w:left="0" w:leftChars="0" w:right="0" w:rightChars="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0.9</w:t>
                  </w:r>
                  <w:r>
                    <w:rPr>
                      <w:rFonts w:hint="eastAsia" w:ascii="Times New Roman" w:hAnsi="Times New Roman" w:eastAsia="宋体" w:cs="Times New Roman"/>
                      <w:color w:val="auto"/>
                      <w:sz w:val="21"/>
                      <w:szCs w:val="21"/>
                      <w:highlight w:val="none"/>
                      <w:vertAlign w:val="baseline"/>
                      <w:lang w:val="en-US" w:eastAsia="zh-CN"/>
                    </w:rPr>
                    <w:t>m×</w:t>
                  </w:r>
                  <w:r>
                    <w:rPr>
                      <w:rFonts w:hint="eastAsia" w:cs="Times New Roman"/>
                      <w:color w:val="auto"/>
                      <w:sz w:val="21"/>
                      <w:szCs w:val="21"/>
                      <w:highlight w:val="none"/>
                      <w:vertAlign w:val="baseline"/>
                      <w:lang w:val="en-US" w:eastAsia="zh-CN"/>
                    </w:rPr>
                    <w:t>1.6</w:t>
                  </w:r>
                  <w:r>
                    <w:rPr>
                      <w:rFonts w:hint="eastAsia" w:ascii="Times New Roman" w:hAnsi="Times New Roman" w:eastAsia="宋体" w:cs="Times New Roman"/>
                      <w:color w:val="auto"/>
                      <w:sz w:val="21"/>
                      <w:szCs w:val="21"/>
                      <w:highlight w:val="none"/>
                      <w:vertAlign w:val="baseline"/>
                      <w:lang w:val="en-US" w:eastAsia="zh-CN"/>
                    </w:rPr>
                    <w:t>m</w:t>
                  </w:r>
                </w:p>
              </w:tc>
              <w:tc>
                <w:tcPr>
                  <w:tcW w:w="1510" w:type="pct"/>
                  <w:shd w:val="clear" w:color="auto" w:fill="auto"/>
                  <w:noWrap w:val="0"/>
                  <w:vAlign w:val="center"/>
                </w:tcPr>
                <w:p w14:paraId="239E2A06">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tLeas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0.2km</w:t>
                  </w:r>
                </w:p>
              </w:tc>
            </w:tr>
          </w:tbl>
          <w:p w14:paraId="00CB9C6D">
            <w:pPr>
              <w:pStyle w:val="123"/>
              <w:ind w:firstLine="0" w:firstLineChars="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2.3</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rPr>
              <w:t>调整黄村变接线方式</w:t>
            </w:r>
          </w:p>
          <w:p w14:paraId="07FB3C48">
            <w:pPr>
              <w:pStyle w:val="123"/>
              <w:ind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2.3.1建设规模</w:t>
            </w:r>
          </w:p>
          <w:p w14:paraId="18859507">
            <w:pPr>
              <w:pStyle w:val="120"/>
              <w:ind w:firstLine="48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本期</w:t>
            </w:r>
            <w:r>
              <w:rPr>
                <w:rFonts w:hint="default" w:ascii="Times New Roman" w:hAnsi="Times New Roman" w:cs="Times New Roman"/>
                <w:color w:val="auto"/>
                <w:highlight w:val="none"/>
                <w:lang w:eastAsia="zh-CN"/>
              </w:rPr>
              <w:t>在白沙站外将原柳北~白沙</w:t>
            </w:r>
            <w:r>
              <w:rPr>
                <w:rFonts w:hint="eastAsia" w:cs="Times New Roman"/>
                <w:color w:val="auto"/>
                <w:highlight w:val="none"/>
                <w:lang w:eastAsia="zh-CN"/>
              </w:rPr>
              <w:t>（</w:t>
            </w:r>
            <w:r>
              <w:rPr>
                <w:rFonts w:hint="default" w:ascii="Times New Roman" w:hAnsi="Times New Roman" w:cs="Times New Roman"/>
                <w:color w:val="auto"/>
                <w:highlight w:val="none"/>
                <w:lang w:eastAsia="zh-CN"/>
              </w:rPr>
              <w:t>T接黄村站、河北站</w:t>
            </w:r>
            <w:r>
              <w:rPr>
                <w:rFonts w:hint="eastAsia" w:cs="Times New Roman"/>
                <w:color w:val="auto"/>
                <w:highlight w:val="none"/>
                <w:lang w:eastAsia="zh-CN"/>
              </w:rPr>
              <w:t>）</w:t>
            </w:r>
            <w:r>
              <w:rPr>
                <w:rFonts w:hint="default" w:ascii="Times New Roman" w:hAnsi="Times New Roman" w:cs="Times New Roman"/>
                <w:color w:val="auto"/>
                <w:highlight w:val="none"/>
                <w:lang w:eastAsia="zh-CN"/>
              </w:rPr>
              <w:t>110</w:t>
            </w:r>
            <w:r>
              <w:rPr>
                <w:rFonts w:hint="eastAsia" w:cs="Times New Roman"/>
                <w:color w:val="auto"/>
                <w:highlight w:val="none"/>
                <w:lang w:eastAsia="zh-CN"/>
              </w:rPr>
              <w:t>kV</w:t>
            </w:r>
            <w:r>
              <w:rPr>
                <w:rFonts w:hint="default" w:ascii="Times New Roman" w:hAnsi="Times New Roman" w:cs="Times New Roman"/>
                <w:color w:val="auto"/>
                <w:highlight w:val="none"/>
                <w:lang w:eastAsia="zh-CN"/>
              </w:rPr>
              <w:t>线路#29杆与原茅洲~白沙110</w:t>
            </w:r>
            <w:r>
              <w:rPr>
                <w:rFonts w:hint="eastAsia" w:cs="Times New Roman"/>
                <w:color w:val="auto"/>
                <w:highlight w:val="none"/>
                <w:lang w:eastAsia="zh-CN"/>
              </w:rPr>
              <w:t>kV</w:t>
            </w:r>
            <w:r>
              <w:rPr>
                <w:rFonts w:hint="default" w:ascii="Times New Roman" w:hAnsi="Times New Roman" w:cs="Times New Roman"/>
                <w:color w:val="auto"/>
                <w:highlight w:val="none"/>
                <w:lang w:eastAsia="zh-CN"/>
              </w:rPr>
              <w:t>线路#30杆在站外</w:t>
            </w:r>
            <w:r>
              <w:rPr>
                <w:rFonts w:hint="eastAsia" w:cs="Times New Roman"/>
                <w:color w:val="auto"/>
                <w:highlight w:val="none"/>
                <w:lang w:val="en-US" w:eastAsia="zh-CN"/>
              </w:rPr>
              <w:t>跳线</w:t>
            </w:r>
            <w:r>
              <w:rPr>
                <w:rFonts w:hint="default" w:ascii="Times New Roman" w:hAnsi="Times New Roman" w:cs="Times New Roman"/>
                <w:color w:val="auto"/>
                <w:highlight w:val="none"/>
                <w:lang w:eastAsia="zh-CN"/>
              </w:rPr>
              <w:t>接通，解开原柳北~白沙</w:t>
            </w:r>
            <w:r>
              <w:rPr>
                <w:rFonts w:hint="eastAsia" w:cs="Times New Roman"/>
                <w:color w:val="auto"/>
                <w:highlight w:val="none"/>
                <w:lang w:eastAsia="zh-CN"/>
              </w:rPr>
              <w:t>（</w:t>
            </w:r>
            <w:r>
              <w:rPr>
                <w:rFonts w:hint="default" w:ascii="Times New Roman" w:hAnsi="Times New Roman" w:cs="Times New Roman"/>
                <w:color w:val="auto"/>
                <w:highlight w:val="none"/>
                <w:lang w:eastAsia="zh-CN"/>
              </w:rPr>
              <w:t>T接黄村站、河北站</w:t>
            </w:r>
            <w:r>
              <w:rPr>
                <w:rFonts w:hint="eastAsia" w:cs="Times New Roman"/>
                <w:color w:val="auto"/>
                <w:highlight w:val="none"/>
                <w:lang w:eastAsia="zh-CN"/>
              </w:rPr>
              <w:t>）</w:t>
            </w:r>
            <w:r>
              <w:rPr>
                <w:rFonts w:hint="default" w:ascii="Times New Roman" w:hAnsi="Times New Roman" w:cs="Times New Roman"/>
                <w:color w:val="auto"/>
                <w:highlight w:val="none"/>
                <w:lang w:eastAsia="zh-CN"/>
              </w:rPr>
              <w:t>110</w:t>
            </w:r>
            <w:r>
              <w:rPr>
                <w:rFonts w:hint="eastAsia" w:cs="Times New Roman"/>
                <w:color w:val="auto"/>
                <w:highlight w:val="none"/>
                <w:lang w:val="en-US" w:eastAsia="zh-CN"/>
              </w:rPr>
              <w:t>kV</w:t>
            </w:r>
            <w:r>
              <w:rPr>
                <w:rFonts w:hint="default" w:ascii="Times New Roman" w:hAnsi="Times New Roman" w:cs="Times New Roman"/>
                <w:color w:val="auto"/>
                <w:highlight w:val="none"/>
                <w:lang w:eastAsia="zh-CN"/>
              </w:rPr>
              <w:t>线路#30杆白沙侧进线</w:t>
            </w:r>
            <w:r>
              <w:rPr>
                <w:rFonts w:hint="eastAsia" w:cs="Times New Roman"/>
                <w:color w:val="auto"/>
                <w:highlight w:val="none"/>
                <w:lang w:eastAsia="zh-CN"/>
              </w:rPr>
              <w:t>。</w:t>
            </w:r>
            <w:r>
              <w:rPr>
                <w:rFonts w:hint="eastAsia"/>
                <w:color w:val="auto"/>
                <w:highlight w:val="none"/>
              </w:rPr>
              <w:t>并利用原茅洲~柳北</w:t>
            </w:r>
            <w:r>
              <w:rPr>
                <w:rFonts w:hint="eastAsia"/>
                <w:color w:val="auto"/>
                <w:highlight w:val="none"/>
                <w:lang w:eastAsia="zh-CN"/>
              </w:rPr>
              <w:t>（</w:t>
            </w:r>
            <w:r>
              <w:rPr>
                <w:rFonts w:hint="eastAsia"/>
                <w:color w:val="auto"/>
                <w:highlight w:val="none"/>
              </w:rPr>
              <w:t>T接河北站、黄村站</w:t>
            </w:r>
            <w:r>
              <w:rPr>
                <w:rFonts w:hint="eastAsia"/>
                <w:color w:val="auto"/>
                <w:highlight w:val="none"/>
                <w:lang w:eastAsia="zh-CN"/>
              </w:rPr>
              <w:t>）</w:t>
            </w:r>
            <w:r>
              <w:rPr>
                <w:rFonts w:hint="eastAsia"/>
                <w:color w:val="auto"/>
                <w:highlight w:val="none"/>
              </w:rPr>
              <w:t>110</w:t>
            </w:r>
            <w:r>
              <w:rPr>
                <w:rFonts w:hint="eastAsia"/>
                <w:color w:val="auto"/>
                <w:highlight w:val="none"/>
                <w:lang w:eastAsia="zh-CN"/>
              </w:rPr>
              <w:t>kV</w:t>
            </w:r>
            <w:r>
              <w:rPr>
                <w:rFonts w:hint="eastAsia"/>
                <w:color w:val="auto"/>
                <w:highlight w:val="none"/>
              </w:rPr>
              <w:t>线路的河北~黄村段原有电缆，</w:t>
            </w:r>
            <w:r>
              <w:rPr>
                <w:rFonts w:hint="default" w:ascii="Times New Roman" w:hAnsi="Times New Roman" w:eastAsia="宋体" w:cs="Times New Roman"/>
                <w:color w:val="auto"/>
                <w:highlight w:val="none"/>
                <w:lang w:val="en-US" w:eastAsia="zh-CN"/>
              </w:rPr>
              <w:t>在110kV河北变电站内调整黄村站T接点的位置，在</w:t>
            </w:r>
            <w:r>
              <w:rPr>
                <w:rFonts w:hint="eastAsia" w:ascii="Times New Roman" w:hAnsi="Times New Roman" w:eastAsia="宋体" w:cs="Times New Roman"/>
                <w:color w:val="auto"/>
                <w:highlight w:val="none"/>
                <w:lang w:val="en-US" w:eastAsia="zh-CN"/>
              </w:rPr>
              <w:t>站内</w:t>
            </w:r>
            <w:r>
              <w:rPr>
                <w:rFonts w:hint="default" w:ascii="Times New Roman" w:hAnsi="Times New Roman" w:eastAsia="宋体" w:cs="Times New Roman"/>
                <w:color w:val="auto"/>
                <w:highlight w:val="none"/>
                <w:lang w:val="en-US" w:eastAsia="zh-CN"/>
              </w:rPr>
              <w:t>原柳白黄北线#16～#17档线路下方新建1基电缆终端钢管杆，并将该档原有导、地线挂于新建电缆终端杆的大号侧，解开至黄村变的柳黄北茅线T接点</w:t>
            </w:r>
            <w:r>
              <w:rPr>
                <w:rFonts w:hint="eastAsia" w:ascii="Times New Roman" w:hAnsi="Times New Roman" w:eastAsia="宋体" w:cs="Times New Roman"/>
                <w:color w:val="auto"/>
                <w:highlight w:val="none"/>
                <w:lang w:val="en-US" w:eastAsia="zh-CN"/>
              </w:rPr>
              <w:t>，将黄村站的接线方式调整为柳北~黄村</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T接河北站</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、茅洲~黄村</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T接白沙站</w:t>
            </w:r>
            <w:r>
              <w:rPr>
                <w:rFonts w:hint="eastAsia" w:cs="Times New Roman"/>
                <w:color w:val="auto"/>
                <w:highlight w:val="none"/>
                <w:lang w:val="en-US" w:eastAsia="zh-CN"/>
              </w:rPr>
              <w:t>）</w:t>
            </w:r>
            <w:r>
              <w:rPr>
                <w:rFonts w:hint="eastAsia" w:ascii="Times New Roman" w:hAnsi="Times New Roman" w:eastAsia="宋体" w:cs="Times New Roman"/>
                <w:color w:val="auto"/>
                <w:highlight w:val="none"/>
                <w:lang w:val="en-US" w:eastAsia="zh-CN"/>
              </w:rPr>
              <w:t>110</w:t>
            </w:r>
            <w:r>
              <w:rPr>
                <w:rFonts w:hint="eastAsia" w:cs="Times New Roman"/>
                <w:color w:val="auto"/>
                <w:highlight w:val="none"/>
                <w:lang w:val="en-US" w:eastAsia="zh-CN"/>
              </w:rPr>
              <w:t>kV</w:t>
            </w:r>
            <w:r>
              <w:rPr>
                <w:rFonts w:hint="eastAsia" w:ascii="Times New Roman" w:hAnsi="Times New Roman" w:eastAsia="宋体" w:cs="Times New Roman"/>
                <w:color w:val="auto"/>
                <w:highlight w:val="none"/>
                <w:lang w:val="en-US" w:eastAsia="zh-CN"/>
              </w:rPr>
              <w:t>线路。</w:t>
            </w:r>
          </w:p>
          <w:p w14:paraId="2086B227">
            <w:pPr>
              <w:pStyle w:val="120"/>
              <w:ind w:firstLine="480"/>
              <w:rPr>
                <w:rFonts w:hint="eastAsia" w:eastAsia="宋体"/>
                <w:color w:val="auto"/>
                <w:highlight w:val="none"/>
                <w:lang w:eastAsia="zh-CN"/>
              </w:rPr>
            </w:pPr>
            <w:r>
              <w:rPr>
                <w:rFonts w:hint="default" w:ascii="Times New Roman" w:hAnsi="Times New Roman" w:eastAsia="宋体" w:cs="Times New Roman"/>
                <w:color w:val="auto"/>
                <w:highlight w:val="none"/>
                <w:lang w:val="en-US" w:eastAsia="zh-CN"/>
              </w:rPr>
              <w:t>本期仅</w:t>
            </w:r>
            <w:r>
              <w:rPr>
                <w:rFonts w:hint="eastAsia" w:ascii="Times New Roman" w:hAnsi="Times New Roman" w:eastAsia="宋体" w:cs="Times New Roman"/>
                <w:color w:val="auto"/>
                <w:highlight w:val="none"/>
                <w:lang w:val="en-US" w:eastAsia="zh-CN"/>
              </w:rPr>
              <w:t>在站内</w:t>
            </w:r>
            <w:r>
              <w:rPr>
                <w:rFonts w:hint="default" w:ascii="Times New Roman" w:hAnsi="Times New Roman" w:eastAsia="宋体" w:cs="Times New Roman"/>
                <w:color w:val="auto"/>
                <w:highlight w:val="none"/>
                <w:lang w:val="en-US" w:eastAsia="zh-CN"/>
              </w:rPr>
              <w:t>新建</w:t>
            </w:r>
            <w:r>
              <w:rPr>
                <w:rFonts w:hint="eastAsia" w:cs="Times New Roman"/>
                <w:color w:val="auto"/>
                <w:highlight w:val="none"/>
                <w:lang w:val="en-US" w:eastAsia="zh-CN"/>
              </w:rPr>
              <w:t>0.02km</w:t>
            </w:r>
            <w:r>
              <w:rPr>
                <w:rFonts w:hint="default" w:ascii="Times New Roman" w:hAnsi="Times New Roman" w:eastAsia="宋体" w:cs="Times New Roman"/>
                <w:color w:val="auto"/>
                <w:highlight w:val="none"/>
                <w:lang w:val="en-US" w:eastAsia="zh-CN"/>
              </w:rPr>
              <w:t>单回路电缆沟</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电缆利用原柳黄北茅线电缆在新建电缆终端杆处电缆上杆。</w:t>
            </w:r>
            <w:r>
              <w:rPr>
                <w:rFonts w:hint="eastAsia"/>
                <w:color w:val="auto"/>
                <w:highlight w:val="none"/>
              </w:rPr>
              <w:t>利用原有导线恢复架设改造架空线路约0.2km</w:t>
            </w:r>
            <w:r>
              <w:rPr>
                <w:rFonts w:hint="eastAsia"/>
                <w:color w:val="auto"/>
                <w:highlight w:val="none"/>
                <w:lang w:eastAsia="zh-CN"/>
              </w:rPr>
              <w:t>。</w:t>
            </w:r>
          </w:p>
          <w:p w14:paraId="1AD810AB">
            <w:pPr>
              <w:pStyle w:val="120"/>
              <w:ind w:left="0" w:leftChars="0"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drawing>
                <wp:inline distT="0" distB="0" distL="114300" distR="114300">
                  <wp:extent cx="5363210" cy="3301365"/>
                  <wp:effectExtent l="0" t="0" r="0" b="0"/>
                  <wp:docPr id="5" name="图片 5" descr="1 白沙变出线接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白沙变出线接线图"/>
                          <pic:cNvPicPr>
                            <a:picLocks noChangeAspect="1"/>
                          </pic:cNvPicPr>
                        </pic:nvPicPr>
                        <pic:blipFill>
                          <a:blip r:embed="rId11"/>
                          <a:srcRect l="3164" b="58817"/>
                          <a:stretch>
                            <a:fillRect/>
                          </a:stretch>
                        </pic:blipFill>
                        <pic:spPr>
                          <a:xfrm>
                            <a:off x="0" y="0"/>
                            <a:ext cx="5363210" cy="3301365"/>
                          </a:xfrm>
                          <a:prstGeom prst="rect">
                            <a:avLst/>
                          </a:prstGeom>
                        </pic:spPr>
                      </pic:pic>
                    </a:graphicData>
                  </a:graphic>
                </wp:inline>
              </w:drawing>
            </w:r>
          </w:p>
          <w:p w14:paraId="068078A9">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rPr>
              <w:t xml:space="preserve">  </w:t>
            </w:r>
            <w:r>
              <w:rPr>
                <w:rFonts w:hint="eastAsia" w:cs="Times New Roman"/>
                <w:b/>
                <w:bCs/>
                <w:color w:val="auto"/>
                <w:sz w:val="24"/>
                <w:szCs w:val="24"/>
                <w:highlight w:val="none"/>
                <w:lang w:val="en-US" w:eastAsia="zh-CN"/>
              </w:rPr>
              <w:t>本工程白沙变电站外跳线接线情况示意图</w:t>
            </w:r>
          </w:p>
          <w:p w14:paraId="4EA2A3CE">
            <w:pPr>
              <w:pStyle w:val="120"/>
              <w:ind w:left="0" w:leftChars="0"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drawing>
                <wp:inline distT="0" distB="0" distL="114300" distR="114300">
                  <wp:extent cx="5376545" cy="3301365"/>
                  <wp:effectExtent l="0" t="0" r="0" b="0"/>
                  <wp:docPr id="10" name="图片 10" descr="1 白沙变出线接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 白沙变出线接线图"/>
                          <pic:cNvPicPr>
                            <a:picLocks noChangeAspect="1"/>
                          </pic:cNvPicPr>
                        </pic:nvPicPr>
                        <pic:blipFill>
                          <a:blip r:embed="rId12"/>
                          <a:srcRect t="58817" r="2924"/>
                          <a:stretch>
                            <a:fillRect/>
                          </a:stretch>
                        </pic:blipFill>
                        <pic:spPr>
                          <a:xfrm>
                            <a:off x="0" y="0"/>
                            <a:ext cx="5376545" cy="3301365"/>
                          </a:xfrm>
                          <a:prstGeom prst="rect">
                            <a:avLst/>
                          </a:prstGeom>
                        </pic:spPr>
                      </pic:pic>
                    </a:graphicData>
                  </a:graphic>
                </wp:inline>
              </w:drawing>
            </w:r>
          </w:p>
          <w:p w14:paraId="2FD4733E">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center"/>
              <w:textAlignment w:val="auto"/>
              <w:rPr>
                <w:rFonts w:hint="default"/>
                <w:color w:val="auto"/>
                <w:sz w:val="24"/>
                <w:szCs w:val="24"/>
                <w:highlight w:val="none"/>
                <w:lang w:val="en-US" w:eastAsia="zh-CN"/>
              </w:rPr>
            </w:pPr>
            <w:r>
              <w:rPr>
                <w:rFonts w:hint="default" w:ascii="Times New Roman" w:hAnsi="Times New Roman" w:cs="Times New Roman"/>
                <w:b/>
                <w:bCs/>
                <w:color w:val="auto"/>
                <w:sz w:val="24"/>
                <w:szCs w:val="24"/>
                <w:highlight w:val="none"/>
              </w:rPr>
              <w:t xml:space="preserve">  </w:t>
            </w:r>
            <w:r>
              <w:rPr>
                <w:rFonts w:hint="eastAsia" w:cs="Times New Roman"/>
                <w:b/>
                <w:bCs/>
                <w:color w:val="auto"/>
                <w:sz w:val="24"/>
                <w:szCs w:val="24"/>
                <w:highlight w:val="none"/>
                <w:lang w:val="en-US" w:eastAsia="zh-CN"/>
              </w:rPr>
              <w:t>本工程河北站内电缆</w:t>
            </w:r>
            <w:r>
              <w:rPr>
                <w:rFonts w:hint="default" w:ascii="Times New Roman" w:hAnsi="Times New Roman" w:cs="Times New Roman"/>
                <w:b/>
                <w:bCs/>
                <w:color w:val="auto"/>
                <w:sz w:val="24"/>
                <w:szCs w:val="24"/>
                <w:highlight w:val="none"/>
              </w:rPr>
              <w:t>线路</w:t>
            </w:r>
            <w:r>
              <w:rPr>
                <w:rFonts w:hint="eastAsia" w:cs="Times New Roman"/>
                <w:b/>
                <w:bCs/>
                <w:color w:val="auto"/>
                <w:sz w:val="24"/>
                <w:szCs w:val="24"/>
                <w:highlight w:val="none"/>
                <w:lang w:val="en-US" w:eastAsia="zh-CN"/>
              </w:rPr>
              <w:t>接线情况示意图</w:t>
            </w:r>
          </w:p>
          <w:p w14:paraId="05D3D028">
            <w:pPr>
              <w:pStyle w:val="123"/>
              <w:ind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w:t>
            </w:r>
            <w:r>
              <w:rPr>
                <w:rFonts w:hint="eastAsia" w:cs="Times New Roman"/>
                <w:color w:val="auto"/>
                <w:szCs w:val="21"/>
                <w:highlight w:val="none"/>
                <w:lang w:val="en-US" w:eastAsia="zh-CN"/>
              </w:rPr>
              <w:t>电缆</w:t>
            </w:r>
            <w:r>
              <w:rPr>
                <w:rFonts w:hint="default" w:ascii="Times New Roman" w:hAnsi="Times New Roman" w:cs="Times New Roman"/>
                <w:color w:val="auto"/>
                <w:szCs w:val="21"/>
                <w:highlight w:val="none"/>
              </w:rPr>
              <w:t>型号</w:t>
            </w:r>
          </w:p>
          <w:p w14:paraId="2110C700">
            <w:pPr>
              <w:pStyle w:val="120"/>
              <w:ind w:firstLine="480"/>
              <w:rPr>
                <w:bCs/>
                <w:color w:val="auto"/>
                <w:highlight w:val="none"/>
              </w:rPr>
            </w:pPr>
            <w:r>
              <w:rPr>
                <w:rFonts w:hint="default" w:ascii="Times New Roman" w:hAnsi="Times New Roman" w:eastAsia="宋体" w:cs="Times New Roman"/>
                <w:color w:val="auto"/>
                <w:highlight w:val="none"/>
                <w:lang w:val="en-US" w:eastAsia="zh-CN"/>
              </w:rPr>
              <w:t>电缆利用原柳黄北茅线电缆</w:t>
            </w:r>
            <w:r>
              <w:rPr>
                <w:rFonts w:hint="eastAsia" w:ascii="Times New Roman" w:hAnsi="Times New Roman" w:eastAsia="宋体" w:cs="Times New Roman"/>
                <w:color w:val="auto"/>
                <w:highlight w:val="none"/>
                <w:lang w:val="en-US" w:eastAsia="zh-CN"/>
              </w:rPr>
              <w:t>，</w:t>
            </w:r>
            <w:r>
              <w:rPr>
                <w:rFonts w:hint="eastAsia" w:cs="Times New Roman"/>
                <w:color w:val="auto"/>
                <w:highlight w:val="none"/>
                <w:lang w:val="en-US" w:eastAsia="zh-CN"/>
              </w:rPr>
              <w:t>本工程仅新建电缆沟</w:t>
            </w:r>
            <w:r>
              <w:rPr>
                <w:bCs/>
                <w:color w:val="auto"/>
                <w:highlight w:val="none"/>
              </w:rPr>
              <w:t>。</w:t>
            </w:r>
          </w:p>
          <w:p w14:paraId="51500104">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textAlignment w:val="auto"/>
              <w:rPr>
                <w:rFonts w:hint="default" w:ascii="Times New Roman" w:hAnsi="Times New Roman" w:eastAsia="宋体" w:cs="Times New Roman"/>
                <w:b/>
                <w:bCs/>
                <w:color w:val="auto"/>
                <w:sz w:val="24"/>
                <w:highlight w:val="none"/>
                <w:lang w:eastAsia="zh-CN"/>
              </w:rPr>
            </w:pPr>
            <w:r>
              <w:rPr>
                <w:rFonts w:hint="default" w:ascii="Times New Roman" w:hAnsi="Times New Roman" w:eastAsia="宋体" w:cs="Times New Roman"/>
                <w:b/>
                <w:bCs/>
                <w:color w:val="auto"/>
                <w:sz w:val="24"/>
                <w:szCs w:val="24"/>
                <w:highlight w:val="none"/>
                <w:lang w:val="en-US" w:eastAsia="zh-CN"/>
              </w:rPr>
              <w:t>2.</w:t>
            </w:r>
            <w:r>
              <w:rPr>
                <w:rFonts w:hint="eastAsia" w:ascii="Times New Roman" w:hAnsi="Times New Roman" w:eastAsia="宋体" w:cs="Times New Roman"/>
                <w:b/>
                <w:bCs/>
                <w:color w:val="auto"/>
                <w:sz w:val="24"/>
                <w:szCs w:val="24"/>
                <w:highlight w:val="none"/>
                <w:lang w:val="en-US" w:eastAsia="zh-CN"/>
              </w:rPr>
              <w:t>2.3</w:t>
            </w:r>
            <w:r>
              <w:rPr>
                <w:rFonts w:hint="default" w:ascii="Times New Roman" w:hAnsi="Times New Roman" w:eastAsia="宋体" w:cs="Times New Roman"/>
                <w:b/>
                <w:bCs/>
                <w:color w:val="auto"/>
                <w:sz w:val="24"/>
                <w:highlight w:val="none"/>
                <w:lang w:eastAsia="zh-CN"/>
              </w:rPr>
              <w:t>电缆敷设方式</w:t>
            </w:r>
          </w:p>
          <w:p w14:paraId="082CEAAF">
            <w:pPr>
              <w:autoSpaceDN w:val="0"/>
              <w:adjustRightInd w:val="0"/>
              <w:spacing w:line="360" w:lineRule="auto"/>
              <w:ind w:firstLine="480" w:firstLineChars="20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sz w:val="24"/>
                <w:highlight w:val="none"/>
                <w:lang w:val="en-US" w:eastAsia="zh-CN"/>
              </w:rPr>
              <w:t>本工程</w:t>
            </w:r>
            <w:r>
              <w:rPr>
                <w:rFonts w:hint="eastAsia" w:ascii="Times New Roman" w:hAnsi="Times New Roman" w:eastAsia="宋体" w:cs="Times New Roman"/>
                <w:color w:val="auto"/>
                <w:sz w:val="24"/>
                <w:highlight w:val="none"/>
              </w:rPr>
              <w:t>新建单回路电缆沟长度约</w:t>
            </w:r>
            <w:r>
              <w:rPr>
                <w:rFonts w:hint="eastAsia" w:cs="Times New Roman"/>
                <w:color w:val="auto"/>
                <w:sz w:val="24"/>
                <w:highlight w:val="none"/>
                <w:lang w:val="en-US" w:eastAsia="zh-CN"/>
              </w:rPr>
              <w:t>0.02km</w:t>
            </w:r>
            <w:r>
              <w:rPr>
                <w:rFonts w:hint="eastAsia" w:cs="Times New Roman"/>
                <w:color w:val="auto"/>
                <w:sz w:val="24"/>
                <w:highlight w:val="none"/>
                <w:lang w:eastAsia="zh-CN"/>
              </w:rPr>
              <w:t>，</w:t>
            </w:r>
            <w:r>
              <w:rPr>
                <w:rFonts w:hint="eastAsia" w:cs="Times New Roman"/>
                <w:color w:val="auto"/>
                <w:sz w:val="24"/>
                <w:highlight w:val="none"/>
                <w:lang w:val="en-US" w:eastAsia="zh-CN"/>
              </w:rPr>
              <w:t>电缆沟</w:t>
            </w:r>
            <w:r>
              <w:rPr>
                <w:rFonts w:hint="default" w:ascii="Times New Roman" w:hAnsi="Times New Roman" w:eastAsia="宋体" w:cs="Times New Roman"/>
                <w:color w:val="auto"/>
                <w:sz w:val="24"/>
                <w:szCs w:val="24"/>
                <w:highlight w:val="none"/>
                <w:lang w:val="en-US" w:eastAsia="zh-CN"/>
              </w:rPr>
              <w:t>参数一览表见表2-</w:t>
            </w:r>
            <w:r>
              <w:rPr>
                <w:rFonts w:hint="eastAsia" w:cs="Times New Roman"/>
                <w:color w:val="auto"/>
                <w:sz w:val="24"/>
                <w:szCs w:val="24"/>
                <w:highlight w:val="none"/>
                <w:lang w:val="en-US" w:eastAsia="zh-CN"/>
              </w:rPr>
              <w:t>4</w:t>
            </w:r>
            <w:r>
              <w:rPr>
                <w:rFonts w:hint="default" w:ascii="Times New Roman" w:hAnsi="Times New Roman" w:eastAsia="宋体" w:cs="Times New Roman"/>
                <w:color w:val="auto"/>
                <w:highlight w:val="none"/>
                <w:lang w:val="en-US" w:eastAsia="zh-CN"/>
              </w:rPr>
              <w:t>。</w:t>
            </w:r>
          </w:p>
          <w:p w14:paraId="13A1A670">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 xml:space="preserve">  本项目电缆沟参数一览表</w:t>
            </w:r>
          </w:p>
          <w:tbl>
            <w:tblPr>
              <w:tblStyle w:val="4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8"/>
              <w:gridCol w:w="3614"/>
              <w:gridCol w:w="2633"/>
            </w:tblGrid>
            <w:tr w14:paraId="0CF92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416" w:type="pct"/>
                  <w:noWrap w:val="0"/>
                  <w:vAlign w:val="center"/>
                </w:tcPr>
                <w:p w14:paraId="2215C0AC">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tLeast"/>
                    <w:ind w:right="0" w:right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建筑物名称</w:t>
                  </w:r>
                </w:p>
              </w:tc>
              <w:tc>
                <w:tcPr>
                  <w:tcW w:w="2073" w:type="pct"/>
                  <w:noWrap w:val="0"/>
                  <w:vAlign w:val="center"/>
                </w:tcPr>
                <w:p w14:paraId="6FB9C154">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tLeast"/>
                    <w:ind w:right="0" w:right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结构内尺寸</w:t>
                  </w:r>
                  <w:r>
                    <w:rPr>
                      <w:rFonts w:hint="eastAsia" w:ascii="Times New Roman" w:hAnsi="Times New Roman" w:eastAsia="宋体" w:cs="Times New Roman"/>
                      <w:b/>
                      <w:bCs/>
                      <w:color w:val="auto"/>
                      <w:sz w:val="21"/>
                      <w:szCs w:val="21"/>
                      <w:highlight w:val="none"/>
                      <w:vertAlign w:val="baseline"/>
                      <w:lang w:val="en-US" w:eastAsia="zh-CN"/>
                    </w:rPr>
                    <w:t>（</w:t>
                  </w:r>
                  <w:r>
                    <w:rPr>
                      <w:rFonts w:hint="default" w:ascii="Times New Roman" w:hAnsi="Times New Roman" w:eastAsia="宋体" w:cs="Times New Roman"/>
                      <w:b/>
                      <w:bCs/>
                      <w:color w:val="auto"/>
                      <w:sz w:val="21"/>
                      <w:szCs w:val="21"/>
                      <w:highlight w:val="none"/>
                      <w:vertAlign w:val="baseline"/>
                      <w:lang w:val="en-US" w:eastAsia="zh-CN"/>
                    </w:rPr>
                    <w:t>宽×高</w:t>
                  </w:r>
                  <w:r>
                    <w:rPr>
                      <w:rFonts w:hint="eastAsia" w:ascii="Times New Roman" w:hAnsi="Times New Roman" w:eastAsia="宋体" w:cs="Times New Roman"/>
                      <w:b/>
                      <w:bCs/>
                      <w:color w:val="auto"/>
                      <w:sz w:val="21"/>
                      <w:szCs w:val="21"/>
                      <w:highlight w:val="none"/>
                      <w:vertAlign w:val="baseline"/>
                      <w:lang w:val="en-US" w:eastAsia="zh-CN"/>
                    </w:rPr>
                    <w:t>）</w:t>
                  </w:r>
                </w:p>
              </w:tc>
              <w:tc>
                <w:tcPr>
                  <w:tcW w:w="1510" w:type="pct"/>
                  <w:noWrap w:val="0"/>
                  <w:vAlign w:val="center"/>
                </w:tcPr>
                <w:p w14:paraId="04F3CABB">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tLeast"/>
                    <w:ind w:left="0" w:leftChars="0" w:right="0" w:rightChars="0" w:firstLine="0" w:firstLineChars="0"/>
                    <w:jc w:val="center"/>
                    <w:textAlignment w:val="auto"/>
                    <w:rPr>
                      <w:rFonts w:hint="default" w:ascii="Times New Roman" w:hAnsi="Times New Roman" w:eastAsia="宋体" w:cs="Times New Roman"/>
                      <w:b/>
                      <w:bCs/>
                      <w:color w:val="auto"/>
                      <w:kern w:val="2"/>
                      <w:sz w:val="21"/>
                      <w:szCs w:val="21"/>
                      <w:highlight w:val="none"/>
                      <w:vertAlign w:val="baseline"/>
                      <w:lang w:val="en-US" w:eastAsia="zh-CN" w:bidi="ar-SA"/>
                    </w:rPr>
                  </w:pPr>
                  <w:r>
                    <w:rPr>
                      <w:rFonts w:hint="default" w:ascii="Times New Roman" w:hAnsi="Times New Roman" w:eastAsia="宋体" w:cs="Times New Roman"/>
                      <w:b/>
                      <w:bCs/>
                      <w:color w:val="auto"/>
                      <w:sz w:val="21"/>
                      <w:szCs w:val="21"/>
                      <w:highlight w:val="none"/>
                      <w:vertAlign w:val="baseline"/>
                      <w:lang w:val="en-US" w:eastAsia="zh-CN"/>
                    </w:rPr>
                    <w:t>长度</w:t>
                  </w:r>
                </w:p>
              </w:tc>
            </w:tr>
            <w:tr w14:paraId="2AFC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416" w:type="pct"/>
                  <w:shd w:val="clear" w:color="auto" w:fill="auto"/>
                  <w:noWrap w:val="0"/>
                  <w:vAlign w:val="center"/>
                </w:tcPr>
                <w:p w14:paraId="0F2B28E9">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tLeas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电缆沟</w:t>
                  </w:r>
                </w:p>
              </w:tc>
              <w:tc>
                <w:tcPr>
                  <w:tcW w:w="2073" w:type="pct"/>
                  <w:shd w:val="clear" w:color="auto" w:fill="auto"/>
                  <w:noWrap w:val="0"/>
                  <w:vAlign w:val="center"/>
                </w:tcPr>
                <w:p w14:paraId="7F063995">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tLeast"/>
                    <w:ind w:left="0" w:leftChars="0" w:right="0" w:rightChars="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1.2</w:t>
                  </w:r>
                  <w:r>
                    <w:rPr>
                      <w:rFonts w:hint="eastAsia" w:ascii="Times New Roman" w:hAnsi="Times New Roman" w:eastAsia="宋体" w:cs="Times New Roman"/>
                      <w:color w:val="auto"/>
                      <w:sz w:val="21"/>
                      <w:szCs w:val="21"/>
                      <w:highlight w:val="none"/>
                      <w:vertAlign w:val="baseline"/>
                      <w:lang w:val="en-US" w:eastAsia="zh-CN"/>
                    </w:rPr>
                    <w:t>m×</w:t>
                  </w:r>
                  <w:r>
                    <w:rPr>
                      <w:rFonts w:hint="eastAsia" w:cs="Times New Roman"/>
                      <w:color w:val="auto"/>
                      <w:sz w:val="21"/>
                      <w:szCs w:val="21"/>
                      <w:highlight w:val="none"/>
                      <w:vertAlign w:val="baseline"/>
                      <w:lang w:val="en-US" w:eastAsia="zh-CN"/>
                    </w:rPr>
                    <w:t>0.77</w:t>
                  </w:r>
                  <w:r>
                    <w:rPr>
                      <w:rFonts w:hint="eastAsia" w:ascii="Times New Roman" w:hAnsi="Times New Roman" w:eastAsia="宋体" w:cs="Times New Roman"/>
                      <w:color w:val="auto"/>
                      <w:sz w:val="21"/>
                      <w:szCs w:val="21"/>
                      <w:highlight w:val="none"/>
                      <w:vertAlign w:val="baseline"/>
                      <w:lang w:val="en-US" w:eastAsia="zh-CN"/>
                    </w:rPr>
                    <w:t>m</w:t>
                  </w:r>
                </w:p>
              </w:tc>
              <w:tc>
                <w:tcPr>
                  <w:tcW w:w="1510" w:type="pct"/>
                  <w:shd w:val="clear" w:color="auto" w:fill="auto"/>
                  <w:noWrap w:val="0"/>
                  <w:vAlign w:val="center"/>
                </w:tcPr>
                <w:p w14:paraId="2780435B">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tLeas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0.02km</w:t>
                  </w:r>
                </w:p>
              </w:tc>
            </w:tr>
          </w:tbl>
          <w:p w14:paraId="5064090A">
            <w:pPr>
              <w:keepNext/>
              <w:keepLines/>
              <w:numPr>
                <w:ilvl w:val="0"/>
                <w:numId w:val="0"/>
              </w:numPr>
              <w:tabs>
                <w:tab w:val="left" w:pos="420"/>
                <w:tab w:val="left" w:pos="567"/>
              </w:tabs>
              <w:spacing w:line="360" w:lineRule="auto"/>
              <w:ind w:leftChars="0"/>
              <w:jc w:val="left"/>
              <w:outlineLvl w:val="1"/>
              <w:rPr>
                <w:rFonts w:hint="default" w:ascii="Times New Roman" w:hAnsi="Times New Roman" w:eastAsia="宋体" w:cs="Times New Roman"/>
                <w:b/>
                <w:color w:val="auto"/>
                <w:w w:val="93"/>
                <w:sz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w:t>
            </w:r>
            <w:r>
              <w:rPr>
                <w:rFonts w:hint="eastAsia" w:ascii="Times New Roman" w:hAnsi="Times New Roman" w:eastAsia="宋体" w:cs="Times New Roman"/>
                <w:b/>
                <w:bCs/>
                <w:color w:val="auto"/>
                <w:sz w:val="24"/>
                <w:szCs w:val="24"/>
                <w:highlight w:val="none"/>
                <w:lang w:val="en-US" w:eastAsia="zh-CN"/>
              </w:rPr>
              <w:t>2.4</w:t>
            </w:r>
            <w:r>
              <w:rPr>
                <w:rFonts w:hint="default" w:ascii="Times New Roman" w:hAnsi="Times New Roman" w:eastAsia="宋体" w:cs="Times New Roman"/>
                <w:b/>
                <w:color w:val="auto"/>
                <w:w w:val="93"/>
                <w:sz w:val="24"/>
                <w:highlight w:val="none"/>
                <w:lang w:val="en-US" w:eastAsia="zh-CN"/>
              </w:rPr>
              <w:t>杆塔、基础</w:t>
            </w:r>
          </w:p>
          <w:p w14:paraId="0822DEB9">
            <w:pPr>
              <w:autoSpaceDN w:val="0"/>
              <w:adjustRightInd w:val="0"/>
              <w:spacing w:line="360" w:lineRule="auto"/>
              <w:ind w:firstLine="480" w:firstLineChars="200"/>
              <w:rPr>
                <w:rFonts w:hint="default" w:ascii="Times New Roman" w:hAnsi="Times New Roman" w:cs="Times New Roman"/>
                <w:color w:val="auto"/>
                <w:szCs w:val="21"/>
                <w:highlight w:val="none"/>
              </w:rPr>
            </w:pPr>
            <w:r>
              <w:rPr>
                <w:rFonts w:hint="eastAsia" w:cs="Times New Roman"/>
                <w:color w:val="auto"/>
                <w:sz w:val="24"/>
                <w:highlight w:val="none"/>
                <w:lang w:val="en-US" w:eastAsia="zh-CN"/>
              </w:rPr>
              <w:t>本项目电缆终端塔选用110DDG-18钢管杆，位于110kV河北变电站站内。</w:t>
            </w:r>
            <w:r>
              <w:rPr>
                <w:rFonts w:hint="default" w:ascii="Times New Roman" w:hAnsi="Times New Roman" w:cs="Times New Roman"/>
                <w:color w:val="auto"/>
                <w:sz w:val="24"/>
                <w:highlight w:val="none"/>
                <w:lang w:val="en-US" w:eastAsia="zh-CN"/>
              </w:rPr>
              <w:t>杆塔基础</w:t>
            </w:r>
            <w:r>
              <w:rPr>
                <w:rFonts w:hint="default" w:ascii="Times New Roman" w:hAnsi="Times New Roman" w:cs="Times New Roman"/>
                <w:color w:val="auto"/>
                <w:sz w:val="24"/>
                <w:highlight w:val="none"/>
              </w:rPr>
              <w:t>采用</w:t>
            </w:r>
            <w:r>
              <w:rPr>
                <w:rFonts w:hint="eastAsia" w:cs="Times New Roman"/>
                <w:color w:val="auto"/>
                <w:sz w:val="24"/>
                <w:highlight w:val="none"/>
                <w:lang w:val="en-US" w:eastAsia="zh-CN"/>
              </w:rPr>
              <w:t>孔桩</w:t>
            </w:r>
            <w:r>
              <w:rPr>
                <w:rFonts w:hint="default" w:ascii="Times New Roman" w:hAnsi="Times New Roman" w:cs="Times New Roman"/>
                <w:color w:val="auto"/>
                <w:sz w:val="24"/>
                <w:highlight w:val="none"/>
              </w:rPr>
              <w:t>基础。</w:t>
            </w:r>
          </w:p>
          <w:p w14:paraId="16255C02">
            <w:pPr>
              <w:pStyle w:val="123"/>
              <w:ind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3.建设项目土石方量及占地</w:t>
            </w:r>
          </w:p>
          <w:p w14:paraId="4FA6F976">
            <w:pPr>
              <w:pStyle w:val="123"/>
              <w:ind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r>
              <w:rPr>
                <w:rFonts w:hint="default"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建设项目占地</w:t>
            </w:r>
          </w:p>
          <w:p w14:paraId="7CD59C7C">
            <w:pPr>
              <w:autoSpaceDN w:val="0"/>
              <w:adjustRightInd w:val="0"/>
              <w:snapToGrid w:val="0"/>
              <w:spacing w:line="360" w:lineRule="auto"/>
              <w:ind w:firstLine="480" w:firstLineChars="200"/>
              <w:rPr>
                <w:rFonts w:hint="default"/>
                <w:bCs/>
                <w:color w:val="auto"/>
                <w:sz w:val="24"/>
                <w:highlight w:val="none"/>
                <w:lang w:val="en-US" w:eastAsia="zh-CN"/>
              </w:rPr>
            </w:pPr>
            <w:r>
              <w:rPr>
                <w:rFonts w:hint="eastAsia"/>
                <w:color w:val="auto"/>
                <w:sz w:val="24"/>
                <w:highlight w:val="none"/>
                <w:lang w:val="en-US" w:eastAsia="zh-CN"/>
              </w:rPr>
              <w:t>本项目永久占地为110kV河北变电站站内新建电缆及终端塔占地，永久占地约20</w:t>
            </w:r>
            <w:r>
              <w:rPr>
                <w:rFonts w:hint="eastAsia"/>
                <w:bCs/>
                <w:color w:val="auto"/>
                <w:sz w:val="24"/>
                <w:highlight w:val="none"/>
                <w:lang w:val="en-US" w:eastAsia="zh-CN"/>
              </w:rPr>
              <w:t>m</w:t>
            </w:r>
            <w:r>
              <w:rPr>
                <w:rFonts w:hint="eastAsia"/>
                <w:bCs/>
                <w:color w:val="auto"/>
                <w:sz w:val="24"/>
                <w:highlight w:val="none"/>
                <w:vertAlign w:val="superscript"/>
                <w:lang w:val="en-US" w:eastAsia="zh-CN"/>
              </w:rPr>
              <w:t>2</w:t>
            </w:r>
            <w:r>
              <w:rPr>
                <w:rFonts w:hint="eastAsia"/>
                <w:bCs/>
                <w:color w:val="auto"/>
                <w:sz w:val="24"/>
                <w:highlight w:val="none"/>
                <w:vertAlign w:val="baseline"/>
                <w:lang w:val="en-US" w:eastAsia="zh-CN"/>
              </w:rPr>
              <w:t>，用地位于原变电站站内</w:t>
            </w:r>
            <w:r>
              <w:rPr>
                <w:rFonts w:hint="eastAsia"/>
                <w:bCs/>
                <w:color w:val="auto"/>
                <w:sz w:val="24"/>
                <w:highlight w:val="none"/>
                <w:lang w:val="en-US" w:eastAsia="zh-CN"/>
              </w:rPr>
              <w:t>既有场地</w:t>
            </w:r>
            <w:r>
              <w:rPr>
                <w:rFonts w:hint="eastAsia"/>
                <w:bCs/>
                <w:color w:val="auto"/>
                <w:sz w:val="24"/>
                <w:highlight w:val="none"/>
                <w:vertAlign w:val="baseline"/>
                <w:lang w:val="en-US" w:eastAsia="zh-CN"/>
              </w:rPr>
              <w:t>，无新征占地</w:t>
            </w:r>
            <w:r>
              <w:rPr>
                <w:rFonts w:hint="eastAsia"/>
                <w:color w:val="auto"/>
                <w:sz w:val="24"/>
                <w:highlight w:val="none"/>
                <w:lang w:eastAsia="zh-CN"/>
              </w:rPr>
              <w:t>；</w:t>
            </w:r>
            <w:r>
              <w:rPr>
                <w:rFonts w:hint="default" w:ascii="Times New Roman" w:hAnsi="Times New Roman" w:eastAsia="宋体" w:cs="Times New Roman"/>
                <w:color w:val="auto"/>
                <w:sz w:val="24"/>
                <w:highlight w:val="none"/>
              </w:rPr>
              <w:t>临时占地</w:t>
            </w:r>
            <w:r>
              <w:rPr>
                <w:rFonts w:hint="eastAsia" w:ascii="Times New Roman" w:hAnsi="Times New Roman" w:eastAsia="宋体" w:cs="Times New Roman"/>
                <w:color w:val="auto"/>
                <w:sz w:val="24"/>
                <w:highlight w:val="none"/>
                <w:lang w:val="en-US" w:eastAsia="zh-CN"/>
              </w:rPr>
              <w:t>主要</w:t>
            </w:r>
            <w:r>
              <w:rPr>
                <w:rFonts w:hint="default" w:ascii="Times New Roman" w:hAnsi="Times New Roman" w:eastAsia="宋体" w:cs="Times New Roman"/>
                <w:color w:val="auto"/>
                <w:sz w:val="24"/>
                <w:highlight w:val="none"/>
              </w:rPr>
              <w:t>为</w:t>
            </w:r>
            <w:r>
              <w:rPr>
                <w:rFonts w:hint="eastAsia"/>
                <w:color w:val="auto"/>
                <w:sz w:val="24"/>
                <w:szCs w:val="32"/>
                <w:highlight w:val="none"/>
                <w:lang w:val="en-US" w:eastAsia="zh-CN"/>
              </w:rPr>
              <w:t>电缆管廊、电缆敷设及施工区等施工用地，临时占地面积约3000</w:t>
            </w:r>
            <w:r>
              <w:rPr>
                <w:rFonts w:hint="eastAsia"/>
                <w:bCs/>
                <w:color w:val="auto"/>
                <w:sz w:val="24"/>
                <w:highlight w:val="none"/>
                <w:lang w:val="en-US" w:eastAsia="zh-CN"/>
              </w:rPr>
              <w:t>m</w:t>
            </w:r>
            <w:r>
              <w:rPr>
                <w:rFonts w:hint="eastAsia"/>
                <w:bCs/>
                <w:color w:val="auto"/>
                <w:sz w:val="24"/>
                <w:highlight w:val="none"/>
                <w:vertAlign w:val="superscript"/>
                <w:lang w:val="en-US" w:eastAsia="zh-CN"/>
              </w:rPr>
              <w:t>2</w:t>
            </w:r>
            <w:r>
              <w:rPr>
                <w:rFonts w:hint="eastAsia"/>
                <w:color w:val="auto"/>
                <w:sz w:val="24"/>
                <w:highlight w:val="none"/>
                <w:lang w:eastAsia="zh-CN"/>
              </w:rPr>
              <w:t>。</w:t>
            </w:r>
          </w:p>
          <w:p w14:paraId="3F60E1E3">
            <w:pPr>
              <w:autoSpaceDN w:val="0"/>
              <w:adjustRightInd w:val="0"/>
              <w:snapToGrid w:val="0"/>
              <w:spacing w:line="360" w:lineRule="auto"/>
              <w:ind w:firstLine="480" w:firstLineChars="200"/>
              <w:rPr>
                <w:color w:val="auto"/>
                <w:sz w:val="24"/>
                <w:highlight w:val="none"/>
              </w:rPr>
            </w:pPr>
            <w:r>
              <w:rPr>
                <w:rFonts w:hint="eastAsia"/>
                <w:color w:val="auto"/>
                <w:sz w:val="24"/>
                <w:highlight w:val="none"/>
              </w:rPr>
              <w:t>项目占地面积及类型见表2-</w:t>
            </w:r>
            <w:r>
              <w:rPr>
                <w:rFonts w:hint="eastAsia"/>
                <w:color w:val="auto"/>
                <w:sz w:val="24"/>
                <w:highlight w:val="none"/>
                <w:lang w:val="en-US" w:eastAsia="zh-CN"/>
              </w:rPr>
              <w:t>5</w:t>
            </w:r>
            <w:r>
              <w:rPr>
                <w:rFonts w:hint="eastAsia"/>
                <w:color w:val="auto"/>
                <w:sz w:val="24"/>
                <w:highlight w:val="none"/>
              </w:rPr>
              <w:t>。</w:t>
            </w:r>
          </w:p>
          <w:p w14:paraId="2E85B6C3">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 xml:space="preserve">  建设项目占地面积及类型</w:t>
            </w:r>
          </w:p>
          <w:tbl>
            <w:tblPr>
              <w:tblStyle w:val="4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6"/>
              <w:gridCol w:w="1386"/>
              <w:gridCol w:w="1386"/>
              <w:gridCol w:w="1388"/>
              <w:gridCol w:w="2557"/>
            </w:tblGrid>
            <w:tr w14:paraId="3E4B1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5" w:type="pct"/>
                  <w:vMerge w:val="restart"/>
                  <w:noWrap w:val="0"/>
                  <w:vAlign w:val="center"/>
                </w:tcPr>
                <w:p w14:paraId="4AF893F4">
                  <w:pPr>
                    <w:keepNext w:val="0"/>
                    <w:keepLines w:val="0"/>
                    <w:pageBreakBefore w:val="0"/>
                    <w:widowControl w:val="0"/>
                    <w:kinsoku/>
                    <w:wordWrap/>
                    <w:overflowPunct/>
                    <w:topLinePunct w:val="0"/>
                    <w:autoSpaceDE/>
                    <w:autoSpaceDN w:val="0"/>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工程名称</w:t>
                  </w:r>
                </w:p>
              </w:tc>
              <w:tc>
                <w:tcPr>
                  <w:tcW w:w="2386" w:type="pct"/>
                  <w:gridSpan w:val="3"/>
                  <w:noWrap w:val="0"/>
                  <w:vAlign w:val="center"/>
                </w:tcPr>
                <w:p w14:paraId="48E9B76B">
                  <w:pPr>
                    <w:keepNext w:val="0"/>
                    <w:keepLines w:val="0"/>
                    <w:pageBreakBefore w:val="0"/>
                    <w:widowControl w:val="0"/>
                    <w:kinsoku/>
                    <w:wordWrap/>
                    <w:overflowPunct/>
                    <w:topLinePunct w:val="0"/>
                    <w:autoSpaceDE/>
                    <w:autoSpaceDN w:val="0"/>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占地性质及面积（</w:t>
                  </w:r>
                  <w:r>
                    <w:rPr>
                      <w:rFonts w:hint="default" w:ascii="Times New Roman" w:hAnsi="Times New Roman" w:eastAsia="宋体" w:cs="Times New Roman"/>
                      <w:b/>
                      <w:bCs/>
                      <w:color w:val="auto"/>
                      <w:sz w:val="21"/>
                      <w:szCs w:val="21"/>
                      <w:highlight w:val="none"/>
                    </w:rPr>
                    <w:t>m</w:t>
                  </w:r>
                  <w:r>
                    <w:rPr>
                      <w:rFonts w:hint="default" w:ascii="Times New Roman" w:hAnsi="Times New Roman" w:eastAsia="宋体" w:cs="Times New Roman"/>
                      <w:b/>
                      <w:bCs/>
                      <w:color w:val="auto"/>
                      <w:sz w:val="21"/>
                      <w:szCs w:val="21"/>
                      <w:highlight w:val="none"/>
                      <w:vertAlign w:val="superscript"/>
                    </w:rPr>
                    <w:t>2</w:t>
                  </w:r>
                  <w:r>
                    <w:rPr>
                      <w:rFonts w:hint="default" w:ascii="Times New Roman" w:hAnsi="Times New Roman" w:eastAsia="宋体" w:cs="Times New Roman"/>
                      <w:b/>
                      <w:bCs/>
                      <w:color w:val="auto"/>
                      <w:sz w:val="21"/>
                      <w:szCs w:val="21"/>
                      <w:highlight w:val="none"/>
                      <w:vertAlign w:val="baseline"/>
                      <w:lang w:val="en-US" w:eastAsia="zh-CN"/>
                    </w:rPr>
                    <w:t>）</w:t>
                  </w:r>
                </w:p>
              </w:tc>
              <w:tc>
                <w:tcPr>
                  <w:tcW w:w="1467" w:type="pct"/>
                  <w:vMerge w:val="restart"/>
                  <w:noWrap w:val="0"/>
                  <w:vAlign w:val="center"/>
                </w:tcPr>
                <w:p w14:paraId="582D69CA">
                  <w:pPr>
                    <w:keepNext w:val="0"/>
                    <w:keepLines w:val="0"/>
                    <w:pageBreakBefore w:val="0"/>
                    <w:widowControl w:val="0"/>
                    <w:kinsoku/>
                    <w:wordWrap/>
                    <w:overflowPunct/>
                    <w:topLinePunct w:val="0"/>
                    <w:autoSpaceDE/>
                    <w:autoSpaceDN w:val="0"/>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占地类型</w:t>
                  </w:r>
                </w:p>
              </w:tc>
            </w:tr>
            <w:tr w14:paraId="26999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5" w:type="pct"/>
                  <w:vMerge w:val="continue"/>
                  <w:noWrap w:val="0"/>
                  <w:vAlign w:val="center"/>
                </w:tcPr>
                <w:p w14:paraId="48EA9CAB">
                  <w:pPr>
                    <w:keepNext w:val="0"/>
                    <w:keepLines w:val="0"/>
                    <w:pageBreakBefore w:val="0"/>
                    <w:widowControl w:val="0"/>
                    <w:kinsoku/>
                    <w:wordWrap/>
                    <w:overflowPunct/>
                    <w:topLinePunct w:val="0"/>
                    <w:autoSpaceDE/>
                    <w:autoSpaceDN w:val="0"/>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795" w:type="pct"/>
                  <w:noWrap w:val="0"/>
                  <w:vAlign w:val="center"/>
                </w:tcPr>
                <w:p w14:paraId="154E5359">
                  <w:pPr>
                    <w:keepNext w:val="0"/>
                    <w:keepLines w:val="0"/>
                    <w:pageBreakBefore w:val="0"/>
                    <w:widowControl w:val="0"/>
                    <w:kinsoku/>
                    <w:wordWrap/>
                    <w:overflowPunct/>
                    <w:topLinePunct w:val="0"/>
                    <w:autoSpaceDE/>
                    <w:autoSpaceDN w:val="0"/>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永久占地</w:t>
                  </w:r>
                </w:p>
              </w:tc>
              <w:tc>
                <w:tcPr>
                  <w:tcW w:w="795" w:type="pct"/>
                  <w:noWrap w:val="0"/>
                  <w:vAlign w:val="center"/>
                </w:tcPr>
                <w:p w14:paraId="1EDB35D7">
                  <w:pPr>
                    <w:keepNext w:val="0"/>
                    <w:keepLines w:val="0"/>
                    <w:pageBreakBefore w:val="0"/>
                    <w:widowControl w:val="0"/>
                    <w:kinsoku/>
                    <w:wordWrap/>
                    <w:overflowPunct/>
                    <w:topLinePunct w:val="0"/>
                    <w:autoSpaceDE/>
                    <w:autoSpaceDN w:val="0"/>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临时占地</w:t>
                  </w:r>
                </w:p>
              </w:tc>
              <w:tc>
                <w:tcPr>
                  <w:tcW w:w="796" w:type="pct"/>
                  <w:noWrap w:val="0"/>
                  <w:vAlign w:val="center"/>
                </w:tcPr>
                <w:p w14:paraId="180AD9A4">
                  <w:pPr>
                    <w:keepNext w:val="0"/>
                    <w:keepLines w:val="0"/>
                    <w:pageBreakBefore w:val="0"/>
                    <w:widowControl w:val="0"/>
                    <w:kinsoku/>
                    <w:wordWrap/>
                    <w:overflowPunct/>
                    <w:topLinePunct w:val="0"/>
                    <w:autoSpaceDE/>
                    <w:autoSpaceDN w:val="0"/>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合计</w:t>
                  </w:r>
                </w:p>
              </w:tc>
              <w:tc>
                <w:tcPr>
                  <w:tcW w:w="1467" w:type="pct"/>
                  <w:vMerge w:val="continue"/>
                  <w:noWrap w:val="0"/>
                  <w:vAlign w:val="center"/>
                </w:tcPr>
                <w:p w14:paraId="40DF5D42">
                  <w:pPr>
                    <w:keepNext w:val="0"/>
                    <w:keepLines w:val="0"/>
                    <w:pageBreakBefore w:val="0"/>
                    <w:widowControl w:val="0"/>
                    <w:kinsoku/>
                    <w:wordWrap/>
                    <w:overflowPunct/>
                    <w:topLinePunct w:val="0"/>
                    <w:autoSpaceDE/>
                    <w:autoSpaceDN w:val="0"/>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p>
              </w:tc>
            </w:tr>
            <w:tr w14:paraId="43066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45" w:type="pct"/>
                  <w:noWrap w:val="0"/>
                  <w:vAlign w:val="center"/>
                </w:tcPr>
                <w:p w14:paraId="2F4B41AA">
                  <w:pPr>
                    <w:keepNext w:val="0"/>
                    <w:keepLines w:val="0"/>
                    <w:pageBreakBefore w:val="0"/>
                    <w:widowControl w:val="0"/>
                    <w:kinsoku/>
                    <w:wordWrap/>
                    <w:overflowPunct/>
                    <w:topLinePunct w:val="0"/>
                    <w:autoSpaceDE/>
                    <w:autoSpaceDN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电缆</w:t>
                  </w:r>
                  <w:r>
                    <w:rPr>
                      <w:rFonts w:hint="eastAsia"/>
                      <w:color w:val="auto"/>
                      <w:sz w:val="21"/>
                      <w:szCs w:val="21"/>
                      <w:highlight w:val="none"/>
                    </w:rPr>
                    <w:t>施工区</w:t>
                  </w:r>
                </w:p>
              </w:tc>
              <w:tc>
                <w:tcPr>
                  <w:tcW w:w="795" w:type="pct"/>
                  <w:noWrap w:val="0"/>
                  <w:vAlign w:val="center"/>
                </w:tcPr>
                <w:p w14:paraId="4A68D1D1">
                  <w:pPr>
                    <w:keepNext w:val="0"/>
                    <w:keepLines w:val="0"/>
                    <w:pageBreakBefore w:val="0"/>
                    <w:widowControl w:val="0"/>
                    <w:kinsoku/>
                    <w:wordWrap/>
                    <w:overflowPunct/>
                    <w:topLinePunct w:val="0"/>
                    <w:autoSpaceDE/>
                    <w:autoSpaceDN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20</w:t>
                  </w:r>
                </w:p>
              </w:tc>
              <w:tc>
                <w:tcPr>
                  <w:tcW w:w="795" w:type="pct"/>
                  <w:noWrap w:val="0"/>
                  <w:vAlign w:val="center"/>
                </w:tcPr>
                <w:p w14:paraId="652BFCA1">
                  <w:pPr>
                    <w:keepNext w:val="0"/>
                    <w:keepLines w:val="0"/>
                    <w:pageBreakBefore w:val="0"/>
                    <w:widowControl w:val="0"/>
                    <w:kinsoku/>
                    <w:wordWrap/>
                    <w:overflowPunct/>
                    <w:topLinePunct w:val="0"/>
                    <w:autoSpaceDE/>
                    <w:autoSpaceDN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3000</w:t>
                  </w:r>
                </w:p>
              </w:tc>
              <w:tc>
                <w:tcPr>
                  <w:tcW w:w="796" w:type="pct"/>
                  <w:noWrap w:val="0"/>
                  <w:vAlign w:val="center"/>
                </w:tcPr>
                <w:p w14:paraId="5A3EE060">
                  <w:pPr>
                    <w:keepNext w:val="0"/>
                    <w:keepLines w:val="0"/>
                    <w:pageBreakBefore w:val="0"/>
                    <w:widowControl w:val="0"/>
                    <w:kinsoku/>
                    <w:wordWrap/>
                    <w:overflowPunct/>
                    <w:topLinePunct w:val="0"/>
                    <w:autoSpaceDE/>
                    <w:autoSpaceDN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3020</w:t>
                  </w:r>
                </w:p>
              </w:tc>
              <w:tc>
                <w:tcPr>
                  <w:tcW w:w="1467" w:type="pct"/>
                  <w:noWrap w:val="0"/>
                  <w:vAlign w:val="center"/>
                </w:tcPr>
                <w:p w14:paraId="3CBB6F7A">
                  <w:pPr>
                    <w:keepNext w:val="0"/>
                    <w:keepLines w:val="0"/>
                    <w:pageBreakBefore w:val="0"/>
                    <w:widowControl w:val="0"/>
                    <w:kinsoku/>
                    <w:wordWrap/>
                    <w:overflowPunct/>
                    <w:topLinePunct w:val="0"/>
                    <w:autoSpaceDE/>
                    <w:autoSpaceDN w:val="0"/>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公共管理与公共服务用地、</w:t>
                  </w:r>
                  <w:r>
                    <w:rPr>
                      <w:rFonts w:hint="eastAsia" w:ascii="Times New Roman" w:hAnsi="Times New Roman" w:eastAsia="宋体" w:cs="Times New Roman"/>
                      <w:color w:val="auto"/>
                      <w:sz w:val="21"/>
                      <w:szCs w:val="21"/>
                      <w:highlight w:val="none"/>
                      <w:vertAlign w:val="baseline"/>
                      <w:lang w:val="en-US" w:eastAsia="zh-CN"/>
                    </w:rPr>
                    <w:t>交</w:t>
                  </w:r>
                  <w:r>
                    <w:rPr>
                      <w:rFonts w:hint="default" w:ascii="Times New Roman" w:hAnsi="Times New Roman" w:eastAsia="宋体" w:cs="Times New Roman"/>
                      <w:color w:val="auto"/>
                      <w:sz w:val="21"/>
                      <w:szCs w:val="21"/>
                      <w:highlight w:val="none"/>
                      <w:vertAlign w:val="baseline"/>
                      <w:lang w:val="en-US" w:eastAsia="zh-CN"/>
                    </w:rPr>
                    <w:t>通运输用地</w:t>
                  </w:r>
                </w:p>
              </w:tc>
            </w:tr>
            <w:tr w14:paraId="51B1B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45" w:type="pct"/>
                  <w:noWrap w:val="0"/>
                  <w:vAlign w:val="center"/>
                </w:tcPr>
                <w:p w14:paraId="0A28A437">
                  <w:pPr>
                    <w:keepNext w:val="0"/>
                    <w:keepLines w:val="0"/>
                    <w:pageBreakBefore w:val="0"/>
                    <w:widowControl w:val="0"/>
                    <w:kinsoku/>
                    <w:wordWrap/>
                    <w:overflowPunct/>
                    <w:topLinePunct w:val="0"/>
                    <w:autoSpaceDE/>
                    <w:autoSpaceDN w:val="0"/>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总计</w:t>
                  </w:r>
                </w:p>
              </w:tc>
              <w:tc>
                <w:tcPr>
                  <w:tcW w:w="795" w:type="pct"/>
                  <w:noWrap w:val="0"/>
                  <w:vAlign w:val="center"/>
                </w:tcPr>
                <w:p w14:paraId="0575BEA7">
                  <w:pPr>
                    <w:keepNext w:val="0"/>
                    <w:keepLines w:val="0"/>
                    <w:pageBreakBefore w:val="0"/>
                    <w:widowControl w:val="0"/>
                    <w:kinsoku/>
                    <w:wordWrap/>
                    <w:overflowPunct/>
                    <w:topLinePunct w:val="0"/>
                    <w:autoSpaceDE/>
                    <w:autoSpaceDN w:val="0"/>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kern w:val="2"/>
                      <w:sz w:val="21"/>
                      <w:szCs w:val="21"/>
                      <w:highlight w:val="none"/>
                      <w:vertAlign w:val="baseline"/>
                      <w:lang w:val="en-US" w:eastAsia="zh-CN" w:bidi="ar-SA"/>
                    </w:rPr>
                    <w:t>20</w:t>
                  </w:r>
                </w:p>
              </w:tc>
              <w:tc>
                <w:tcPr>
                  <w:tcW w:w="795" w:type="pct"/>
                  <w:noWrap w:val="0"/>
                  <w:vAlign w:val="center"/>
                </w:tcPr>
                <w:p w14:paraId="06503EC0">
                  <w:pPr>
                    <w:keepNext w:val="0"/>
                    <w:keepLines w:val="0"/>
                    <w:pageBreakBefore w:val="0"/>
                    <w:widowControl w:val="0"/>
                    <w:kinsoku/>
                    <w:wordWrap/>
                    <w:overflowPunct/>
                    <w:topLinePunct w:val="0"/>
                    <w:autoSpaceDE/>
                    <w:autoSpaceDN w:val="0"/>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kern w:val="2"/>
                      <w:sz w:val="21"/>
                      <w:szCs w:val="21"/>
                      <w:highlight w:val="none"/>
                      <w:vertAlign w:val="baseline"/>
                      <w:lang w:val="en-US" w:eastAsia="zh-CN" w:bidi="ar-SA"/>
                    </w:rPr>
                    <w:t>3000</w:t>
                  </w:r>
                </w:p>
              </w:tc>
              <w:tc>
                <w:tcPr>
                  <w:tcW w:w="796" w:type="pct"/>
                  <w:noWrap w:val="0"/>
                  <w:vAlign w:val="center"/>
                </w:tcPr>
                <w:p w14:paraId="6C7228EA">
                  <w:pPr>
                    <w:keepNext w:val="0"/>
                    <w:keepLines w:val="0"/>
                    <w:pageBreakBefore w:val="0"/>
                    <w:widowControl w:val="0"/>
                    <w:kinsoku/>
                    <w:wordWrap/>
                    <w:overflowPunct/>
                    <w:topLinePunct w:val="0"/>
                    <w:autoSpaceDE/>
                    <w:autoSpaceDN w:val="0"/>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kern w:val="2"/>
                      <w:sz w:val="21"/>
                      <w:szCs w:val="21"/>
                      <w:highlight w:val="none"/>
                      <w:vertAlign w:val="baseline"/>
                      <w:lang w:val="en-US" w:eastAsia="zh-CN" w:bidi="ar-SA"/>
                    </w:rPr>
                    <w:t>3020</w:t>
                  </w:r>
                </w:p>
              </w:tc>
              <w:tc>
                <w:tcPr>
                  <w:tcW w:w="1467" w:type="pct"/>
                  <w:noWrap w:val="0"/>
                  <w:vAlign w:val="center"/>
                </w:tcPr>
                <w:p w14:paraId="67ECFDC8">
                  <w:pPr>
                    <w:keepNext w:val="0"/>
                    <w:keepLines w:val="0"/>
                    <w:pageBreakBefore w:val="0"/>
                    <w:widowControl w:val="0"/>
                    <w:kinsoku/>
                    <w:wordWrap/>
                    <w:overflowPunct/>
                    <w:topLinePunct w:val="0"/>
                    <w:autoSpaceDE/>
                    <w:autoSpaceDN w:val="0"/>
                    <w:bidi w:val="0"/>
                    <w:adjustRightInd/>
                    <w:snapToGrid/>
                    <w:spacing w:line="240" w:lineRule="auto"/>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olor w:val="auto"/>
                      <w:highlight w:val="none"/>
                      <w:lang w:val="en-US" w:eastAsia="zh-CN"/>
                    </w:rPr>
                    <w:t>/</w:t>
                  </w:r>
                </w:p>
              </w:tc>
            </w:tr>
          </w:tbl>
          <w:p w14:paraId="32476C81">
            <w:pPr>
              <w:pStyle w:val="123"/>
              <w:ind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土石方量</w:t>
            </w:r>
          </w:p>
          <w:p w14:paraId="6819B692">
            <w:pPr>
              <w:autoSpaceDN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本项目土石方工程主要为</w:t>
            </w:r>
            <w:r>
              <w:rPr>
                <w:rFonts w:hint="eastAsia" w:cs="Times New Roman"/>
                <w:color w:val="auto"/>
                <w:sz w:val="24"/>
                <w:highlight w:val="none"/>
                <w:lang w:val="en-US" w:eastAsia="zh-CN"/>
              </w:rPr>
              <w:t>电缆沟</w:t>
            </w:r>
            <w:r>
              <w:rPr>
                <w:rFonts w:hint="default" w:ascii="Times New Roman" w:hAnsi="Times New Roman" w:cs="Times New Roman"/>
                <w:color w:val="auto"/>
                <w:sz w:val="24"/>
                <w:highlight w:val="none"/>
              </w:rPr>
              <w:t>开挖与回填。</w:t>
            </w:r>
            <w:r>
              <w:rPr>
                <w:rFonts w:hint="eastAsia" w:cs="Times New Roman"/>
                <w:color w:val="auto"/>
                <w:sz w:val="24"/>
                <w:highlight w:val="none"/>
                <w:lang w:val="en-US" w:eastAsia="zh-CN"/>
              </w:rPr>
              <w:t>本项目总挖方量约300</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含表土50m</w:t>
            </w:r>
            <w:r>
              <w:rPr>
                <w:rFonts w:hint="default" w:ascii="Times New Roman" w:hAnsi="Times New Roman" w:cs="Times New Roman"/>
                <w:color w:val="auto"/>
                <w:sz w:val="24"/>
                <w:highlight w:val="none"/>
                <w:vertAlign w:val="superscript"/>
              </w:rPr>
              <w:t>3</w:t>
            </w:r>
            <w:r>
              <w:rPr>
                <w:rFonts w:hint="eastAsia" w:cs="Times New Roman"/>
                <w:color w:val="auto"/>
                <w:sz w:val="24"/>
                <w:highlight w:val="none"/>
                <w:vertAlign w:val="baseline"/>
                <w:lang w:eastAsia="zh-CN"/>
              </w:rPr>
              <w:t>）</w:t>
            </w:r>
            <w:r>
              <w:rPr>
                <w:rFonts w:hint="default" w:ascii="Times New Roman" w:hAnsi="Times New Roman" w:cs="Times New Roman"/>
                <w:color w:val="auto"/>
                <w:sz w:val="24"/>
                <w:highlight w:val="none"/>
              </w:rPr>
              <w:t>，总</w:t>
            </w:r>
            <w:r>
              <w:rPr>
                <w:rFonts w:hint="eastAsia" w:cs="Times New Roman"/>
                <w:color w:val="auto"/>
                <w:sz w:val="24"/>
                <w:highlight w:val="none"/>
                <w:lang w:val="en-US" w:eastAsia="zh-CN"/>
              </w:rPr>
              <w:t>填方量约300</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含表土50m</w:t>
            </w:r>
            <w:r>
              <w:rPr>
                <w:rFonts w:hint="default" w:ascii="Times New Roman" w:hAnsi="Times New Roman" w:cs="Times New Roman"/>
                <w:color w:val="auto"/>
                <w:sz w:val="24"/>
                <w:highlight w:val="none"/>
                <w:vertAlign w:val="superscript"/>
              </w:rPr>
              <w:t>3</w:t>
            </w:r>
            <w:r>
              <w:rPr>
                <w:rFonts w:hint="eastAsia" w:cs="Times New Roman"/>
                <w:color w:val="auto"/>
                <w:sz w:val="24"/>
                <w:highlight w:val="none"/>
                <w:vertAlign w:val="baseline"/>
                <w:lang w:eastAsia="zh-CN"/>
              </w:rPr>
              <w:t>）</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开挖土石方全部回填于电缆沟占地范围内，土石方平衡，无弃土弃渣</w:t>
            </w:r>
            <w:r>
              <w:rPr>
                <w:rFonts w:hint="eastAsia" w:cs="Times New Roman"/>
                <w:color w:val="auto"/>
                <w:sz w:val="24"/>
                <w:highlight w:val="none"/>
                <w:lang w:val="en-US" w:eastAsia="zh-CN"/>
              </w:rPr>
              <w:t>，不单独设置弃渣场。</w:t>
            </w:r>
          </w:p>
          <w:p w14:paraId="6DF0CA0F">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center"/>
              <w:textAlignment w:val="auto"/>
              <w:rPr>
                <w:b/>
                <w:color w:val="auto"/>
                <w:sz w:val="24"/>
                <w:szCs w:val="24"/>
                <w:highlight w:val="none"/>
                <w:vertAlign w:val="superscript"/>
              </w:rPr>
            </w:pPr>
            <w:r>
              <w:rPr>
                <w:b/>
                <w:color w:val="auto"/>
                <w:sz w:val="24"/>
                <w:szCs w:val="24"/>
                <w:highlight w:val="none"/>
              </w:rPr>
              <w:t xml:space="preserve">  项目土石方平衡表</w:t>
            </w:r>
            <w:r>
              <w:rPr>
                <w:rFonts w:hint="eastAsia"/>
                <w:b/>
                <w:color w:val="auto"/>
                <w:sz w:val="24"/>
                <w:szCs w:val="24"/>
                <w:highlight w:val="none"/>
              </w:rPr>
              <w:t>（</w:t>
            </w:r>
            <w:r>
              <w:rPr>
                <w:b/>
                <w:color w:val="auto"/>
                <w:sz w:val="24"/>
                <w:szCs w:val="24"/>
                <w:highlight w:val="none"/>
              </w:rPr>
              <w:t>单位：m</w:t>
            </w:r>
            <w:r>
              <w:rPr>
                <w:b/>
                <w:color w:val="auto"/>
                <w:sz w:val="24"/>
                <w:szCs w:val="24"/>
                <w:highlight w:val="none"/>
                <w:vertAlign w:val="superscript"/>
              </w:rPr>
              <w:t>3</w:t>
            </w:r>
            <w:r>
              <w:rPr>
                <w:rFonts w:hint="eastAsia"/>
                <w:b/>
                <w:color w:val="auto"/>
                <w:sz w:val="24"/>
                <w:szCs w:val="24"/>
                <w:highlight w:val="none"/>
              </w:rPr>
              <w:t>）</w:t>
            </w:r>
          </w:p>
          <w:tbl>
            <w:tblPr>
              <w:tblStyle w:val="4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6" w:type="dxa"/>
                <w:bottom w:w="0" w:type="dxa"/>
                <w:right w:w="6" w:type="dxa"/>
              </w:tblCellMar>
            </w:tblPr>
            <w:tblGrid>
              <w:gridCol w:w="494"/>
              <w:gridCol w:w="1109"/>
              <w:gridCol w:w="931"/>
              <w:gridCol w:w="931"/>
              <w:gridCol w:w="933"/>
              <w:gridCol w:w="931"/>
              <w:gridCol w:w="931"/>
              <w:gridCol w:w="935"/>
              <w:gridCol w:w="698"/>
              <w:gridCol w:w="822"/>
            </w:tblGrid>
            <w:tr w14:paraId="23A7F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397" w:hRule="atLeast"/>
                <w:jc w:val="center"/>
              </w:trPr>
              <w:tc>
                <w:tcPr>
                  <w:tcW w:w="283" w:type="pct"/>
                  <w:vMerge w:val="restart"/>
                  <w:vAlign w:val="center"/>
                </w:tcPr>
                <w:p w14:paraId="498489AD">
                  <w:pPr>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636" w:type="pct"/>
                  <w:vMerge w:val="restart"/>
                  <w:vAlign w:val="center"/>
                </w:tcPr>
                <w:p w14:paraId="7CA27ECC">
                  <w:pPr>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项目区</w:t>
                  </w:r>
                </w:p>
              </w:tc>
              <w:tc>
                <w:tcPr>
                  <w:tcW w:w="1603" w:type="pct"/>
                  <w:gridSpan w:val="3"/>
                  <w:vAlign w:val="center"/>
                </w:tcPr>
                <w:p w14:paraId="00E746DC">
                  <w:pPr>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挖方</w:t>
                  </w:r>
                </w:p>
              </w:tc>
              <w:tc>
                <w:tcPr>
                  <w:tcW w:w="1604" w:type="pct"/>
                  <w:gridSpan w:val="3"/>
                  <w:vAlign w:val="center"/>
                </w:tcPr>
                <w:p w14:paraId="43960504">
                  <w:pPr>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填方</w:t>
                  </w:r>
                </w:p>
              </w:tc>
              <w:tc>
                <w:tcPr>
                  <w:tcW w:w="871" w:type="pct"/>
                  <w:gridSpan w:val="2"/>
                  <w:vAlign w:val="center"/>
                </w:tcPr>
                <w:p w14:paraId="7DB85529">
                  <w:pPr>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弃方</w:t>
                  </w:r>
                </w:p>
              </w:tc>
            </w:tr>
            <w:tr w14:paraId="5228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624" w:hRule="atLeast"/>
                <w:jc w:val="center"/>
              </w:trPr>
              <w:tc>
                <w:tcPr>
                  <w:tcW w:w="283" w:type="pct"/>
                  <w:vMerge w:val="continue"/>
                  <w:vAlign w:val="center"/>
                </w:tcPr>
                <w:p w14:paraId="7F0D49B0">
                  <w:pPr>
                    <w:snapToGrid w:val="0"/>
                    <w:spacing w:line="240" w:lineRule="auto"/>
                    <w:jc w:val="center"/>
                    <w:rPr>
                      <w:rFonts w:hint="default" w:ascii="Times New Roman" w:hAnsi="Times New Roman" w:cs="Times New Roman"/>
                      <w:color w:val="auto"/>
                      <w:sz w:val="21"/>
                      <w:szCs w:val="21"/>
                      <w:highlight w:val="none"/>
                    </w:rPr>
                  </w:pPr>
                </w:p>
              </w:tc>
              <w:tc>
                <w:tcPr>
                  <w:tcW w:w="636" w:type="pct"/>
                  <w:vMerge w:val="continue"/>
                  <w:vAlign w:val="center"/>
                </w:tcPr>
                <w:p w14:paraId="3BD0EC8F">
                  <w:pPr>
                    <w:snapToGrid w:val="0"/>
                    <w:spacing w:line="240" w:lineRule="auto"/>
                    <w:jc w:val="center"/>
                    <w:rPr>
                      <w:rFonts w:hint="default" w:ascii="Times New Roman" w:hAnsi="Times New Roman" w:cs="Times New Roman"/>
                      <w:color w:val="auto"/>
                      <w:sz w:val="21"/>
                      <w:szCs w:val="21"/>
                      <w:highlight w:val="none"/>
                    </w:rPr>
                  </w:pPr>
                </w:p>
              </w:tc>
              <w:tc>
                <w:tcPr>
                  <w:tcW w:w="534" w:type="pct"/>
                  <w:vAlign w:val="center"/>
                </w:tcPr>
                <w:p w14:paraId="590FFB18">
                  <w:pPr>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表土</w:t>
                  </w:r>
                </w:p>
                <w:p w14:paraId="5520BD0E">
                  <w:pPr>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开挖</w:t>
                  </w:r>
                </w:p>
              </w:tc>
              <w:tc>
                <w:tcPr>
                  <w:tcW w:w="534" w:type="pct"/>
                  <w:vAlign w:val="center"/>
                </w:tcPr>
                <w:p w14:paraId="6401AD28">
                  <w:pPr>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其他</w:t>
                  </w:r>
                </w:p>
                <w:p w14:paraId="2F5CC707">
                  <w:pPr>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挖方</w:t>
                  </w:r>
                </w:p>
              </w:tc>
              <w:tc>
                <w:tcPr>
                  <w:tcW w:w="534" w:type="pct"/>
                  <w:vAlign w:val="center"/>
                </w:tcPr>
                <w:p w14:paraId="154C15D0">
                  <w:pPr>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小计</w:t>
                  </w:r>
                </w:p>
              </w:tc>
              <w:tc>
                <w:tcPr>
                  <w:tcW w:w="534" w:type="pct"/>
                  <w:vAlign w:val="center"/>
                </w:tcPr>
                <w:p w14:paraId="22ED7DDE">
                  <w:pPr>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表土</w:t>
                  </w:r>
                </w:p>
                <w:p w14:paraId="0C02750F">
                  <w:pPr>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回覆</w:t>
                  </w:r>
                </w:p>
              </w:tc>
              <w:tc>
                <w:tcPr>
                  <w:tcW w:w="534" w:type="pct"/>
                  <w:vAlign w:val="center"/>
                </w:tcPr>
                <w:p w14:paraId="555177E5">
                  <w:pPr>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其他</w:t>
                  </w:r>
                </w:p>
                <w:p w14:paraId="317175EB">
                  <w:pPr>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回填</w:t>
                  </w:r>
                </w:p>
              </w:tc>
              <w:tc>
                <w:tcPr>
                  <w:tcW w:w="536" w:type="pct"/>
                  <w:vAlign w:val="center"/>
                </w:tcPr>
                <w:p w14:paraId="68C57729">
                  <w:pPr>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小计</w:t>
                  </w:r>
                </w:p>
              </w:tc>
              <w:tc>
                <w:tcPr>
                  <w:tcW w:w="400" w:type="pct"/>
                  <w:vAlign w:val="center"/>
                </w:tcPr>
                <w:p w14:paraId="72239FC5">
                  <w:pPr>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弃方量</w:t>
                  </w:r>
                </w:p>
              </w:tc>
              <w:tc>
                <w:tcPr>
                  <w:tcW w:w="471" w:type="pct"/>
                  <w:vAlign w:val="center"/>
                </w:tcPr>
                <w:p w14:paraId="5BB537C2">
                  <w:pPr>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去向</w:t>
                  </w:r>
                </w:p>
              </w:tc>
            </w:tr>
            <w:tr w14:paraId="70399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397" w:hRule="atLeast"/>
                <w:jc w:val="center"/>
              </w:trPr>
              <w:tc>
                <w:tcPr>
                  <w:tcW w:w="283" w:type="pct"/>
                  <w:vAlign w:val="center"/>
                </w:tcPr>
                <w:p w14:paraId="37077C8D">
                  <w:pPr>
                    <w:snapToGrid w:val="0"/>
                    <w:spacing w:line="240" w:lineRule="auto"/>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1</w:t>
                  </w:r>
                </w:p>
              </w:tc>
              <w:tc>
                <w:tcPr>
                  <w:tcW w:w="636" w:type="pct"/>
                  <w:vAlign w:val="center"/>
                </w:tcPr>
                <w:p w14:paraId="35420663">
                  <w:pPr>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线路工程</w:t>
                  </w:r>
                </w:p>
              </w:tc>
              <w:tc>
                <w:tcPr>
                  <w:tcW w:w="534" w:type="pct"/>
                  <w:vAlign w:val="center"/>
                </w:tcPr>
                <w:p w14:paraId="40FBE3A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50</w:t>
                  </w:r>
                </w:p>
              </w:tc>
              <w:tc>
                <w:tcPr>
                  <w:tcW w:w="534" w:type="pct"/>
                  <w:vAlign w:val="center"/>
                </w:tcPr>
                <w:p w14:paraId="1A592F6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250</w:t>
                  </w:r>
                </w:p>
              </w:tc>
              <w:tc>
                <w:tcPr>
                  <w:tcW w:w="534" w:type="pct"/>
                  <w:vAlign w:val="center"/>
                </w:tcPr>
                <w:p w14:paraId="6A7D0D16">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cs="Times New Roman"/>
                      <w:i w:val="0"/>
                      <w:iCs w:val="0"/>
                      <w:color w:val="auto"/>
                      <w:kern w:val="0"/>
                      <w:sz w:val="21"/>
                      <w:szCs w:val="21"/>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00</w:t>
                  </w:r>
                </w:p>
              </w:tc>
              <w:tc>
                <w:tcPr>
                  <w:tcW w:w="534" w:type="pct"/>
                  <w:vAlign w:val="center"/>
                </w:tcPr>
                <w:p w14:paraId="5A6BF070">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cs="Times New Roman"/>
                      <w:i w:val="0"/>
                      <w:iCs w:val="0"/>
                      <w:color w:val="auto"/>
                      <w:kern w:val="0"/>
                      <w:sz w:val="21"/>
                      <w:szCs w:val="21"/>
                      <w:highlight w:val="none"/>
                      <w:u w:val="none"/>
                      <w:lang w:val="en-US" w:eastAsia="zh-CN" w:bidi="ar"/>
                    </w:rPr>
                    <w:t>50</w:t>
                  </w:r>
                </w:p>
              </w:tc>
              <w:tc>
                <w:tcPr>
                  <w:tcW w:w="534" w:type="pct"/>
                  <w:vAlign w:val="center"/>
                </w:tcPr>
                <w:p w14:paraId="79F3E4A8">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cs="Times New Roman"/>
                      <w:i w:val="0"/>
                      <w:iCs w:val="0"/>
                      <w:color w:val="auto"/>
                      <w:kern w:val="0"/>
                      <w:sz w:val="21"/>
                      <w:szCs w:val="21"/>
                      <w:highlight w:val="none"/>
                      <w:u w:val="none"/>
                      <w:lang w:val="en-US" w:eastAsia="zh-CN" w:bidi="ar"/>
                    </w:rPr>
                    <w:t>250</w:t>
                  </w:r>
                </w:p>
              </w:tc>
              <w:tc>
                <w:tcPr>
                  <w:tcW w:w="536" w:type="pct"/>
                  <w:vAlign w:val="center"/>
                </w:tcPr>
                <w:p w14:paraId="1C97F76C">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cs="Times New Roman"/>
                      <w:i w:val="0"/>
                      <w:iCs w:val="0"/>
                      <w:color w:val="auto"/>
                      <w:kern w:val="0"/>
                      <w:sz w:val="21"/>
                      <w:szCs w:val="21"/>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00</w:t>
                  </w:r>
                </w:p>
              </w:tc>
              <w:tc>
                <w:tcPr>
                  <w:tcW w:w="400" w:type="pct"/>
                  <w:vAlign w:val="center"/>
                </w:tcPr>
                <w:p w14:paraId="221E3F59">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471" w:type="pct"/>
                  <w:vAlign w:val="center"/>
                </w:tcPr>
                <w:p w14:paraId="7D70ECCE">
                  <w:pPr>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r>
            <w:tr w14:paraId="30777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397" w:hRule="atLeast"/>
                <w:jc w:val="center"/>
              </w:trPr>
              <w:tc>
                <w:tcPr>
                  <w:tcW w:w="919" w:type="pct"/>
                  <w:gridSpan w:val="2"/>
                  <w:vAlign w:val="center"/>
                </w:tcPr>
                <w:p w14:paraId="3EEE37A2">
                  <w:pPr>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合计</w:t>
                  </w:r>
                </w:p>
              </w:tc>
              <w:tc>
                <w:tcPr>
                  <w:tcW w:w="534" w:type="pct"/>
                  <w:vAlign w:val="center"/>
                </w:tcPr>
                <w:p w14:paraId="53D909EF">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cs="Times New Roman"/>
                      <w:i w:val="0"/>
                      <w:iCs w:val="0"/>
                      <w:color w:val="auto"/>
                      <w:kern w:val="0"/>
                      <w:sz w:val="21"/>
                      <w:szCs w:val="21"/>
                      <w:highlight w:val="none"/>
                      <w:u w:val="none"/>
                      <w:lang w:val="en-US" w:eastAsia="zh-CN" w:bidi="ar"/>
                    </w:rPr>
                    <w:t>50</w:t>
                  </w:r>
                </w:p>
              </w:tc>
              <w:tc>
                <w:tcPr>
                  <w:tcW w:w="534" w:type="pct"/>
                  <w:vAlign w:val="center"/>
                </w:tcPr>
                <w:p w14:paraId="485EE59F">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cs="Times New Roman"/>
                      <w:i w:val="0"/>
                      <w:iCs w:val="0"/>
                      <w:color w:val="auto"/>
                      <w:kern w:val="0"/>
                      <w:sz w:val="21"/>
                      <w:szCs w:val="21"/>
                      <w:highlight w:val="none"/>
                      <w:u w:val="none"/>
                      <w:lang w:val="en-US" w:eastAsia="zh-CN" w:bidi="ar"/>
                    </w:rPr>
                    <w:t>250</w:t>
                  </w:r>
                </w:p>
              </w:tc>
              <w:tc>
                <w:tcPr>
                  <w:tcW w:w="534" w:type="pct"/>
                  <w:vAlign w:val="center"/>
                </w:tcPr>
                <w:p w14:paraId="7B9BEFC2">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cs="Times New Roman"/>
                      <w:i w:val="0"/>
                      <w:iCs w:val="0"/>
                      <w:color w:val="auto"/>
                      <w:kern w:val="0"/>
                      <w:sz w:val="21"/>
                      <w:szCs w:val="21"/>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00</w:t>
                  </w:r>
                </w:p>
              </w:tc>
              <w:tc>
                <w:tcPr>
                  <w:tcW w:w="534" w:type="pct"/>
                  <w:vAlign w:val="center"/>
                </w:tcPr>
                <w:p w14:paraId="2849CE01">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cs="Times New Roman"/>
                      <w:i w:val="0"/>
                      <w:iCs w:val="0"/>
                      <w:color w:val="auto"/>
                      <w:kern w:val="0"/>
                      <w:sz w:val="21"/>
                      <w:szCs w:val="21"/>
                      <w:highlight w:val="none"/>
                      <w:u w:val="none"/>
                      <w:lang w:val="en-US" w:eastAsia="zh-CN" w:bidi="ar"/>
                    </w:rPr>
                    <w:t>50</w:t>
                  </w:r>
                </w:p>
              </w:tc>
              <w:tc>
                <w:tcPr>
                  <w:tcW w:w="534" w:type="pct"/>
                  <w:vAlign w:val="center"/>
                </w:tcPr>
                <w:p w14:paraId="3270BED3">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cs="Times New Roman"/>
                      <w:i w:val="0"/>
                      <w:iCs w:val="0"/>
                      <w:color w:val="auto"/>
                      <w:kern w:val="0"/>
                      <w:sz w:val="21"/>
                      <w:szCs w:val="21"/>
                      <w:highlight w:val="none"/>
                      <w:u w:val="none"/>
                      <w:lang w:val="en-US" w:eastAsia="zh-CN" w:bidi="ar"/>
                    </w:rPr>
                    <w:t>250</w:t>
                  </w:r>
                </w:p>
              </w:tc>
              <w:tc>
                <w:tcPr>
                  <w:tcW w:w="536" w:type="pct"/>
                  <w:vAlign w:val="center"/>
                </w:tcPr>
                <w:p w14:paraId="2A5582EA">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cs="Times New Roman"/>
                      <w:i w:val="0"/>
                      <w:iCs w:val="0"/>
                      <w:color w:val="auto"/>
                      <w:kern w:val="0"/>
                      <w:sz w:val="21"/>
                      <w:szCs w:val="21"/>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00</w:t>
                  </w:r>
                </w:p>
              </w:tc>
              <w:tc>
                <w:tcPr>
                  <w:tcW w:w="400" w:type="pct"/>
                  <w:vAlign w:val="center"/>
                </w:tcPr>
                <w:p w14:paraId="7BD6E868">
                  <w:pPr>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471" w:type="pct"/>
                  <w:vAlign w:val="center"/>
                </w:tcPr>
                <w:p w14:paraId="7E9EE300">
                  <w:pPr>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w:t>
                  </w:r>
                </w:p>
              </w:tc>
            </w:tr>
          </w:tbl>
          <w:p w14:paraId="1B0FDE25">
            <w:pPr>
              <w:pStyle w:val="120"/>
              <w:ind w:firstLine="480"/>
              <w:rPr>
                <w:rFonts w:hint="default"/>
                <w:color w:val="auto"/>
                <w:highlight w:val="none"/>
              </w:rPr>
            </w:pPr>
          </w:p>
        </w:tc>
      </w:tr>
      <w:tr w14:paraId="6DBB4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5" w:type="pct"/>
            <w:vAlign w:val="center"/>
          </w:tcPr>
          <w:p w14:paraId="30160FAE">
            <w:pPr>
              <w:adjustRightInd w:val="0"/>
              <w:snapToGrid w:val="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总平面及现场布置</w:t>
            </w:r>
          </w:p>
        </w:tc>
        <w:tc>
          <w:tcPr>
            <w:tcW w:w="4764" w:type="pct"/>
            <w:vAlign w:val="center"/>
          </w:tcPr>
          <w:p w14:paraId="596451BD">
            <w:pPr>
              <w:pStyle w:val="123"/>
              <w:ind w:firstLine="0" w:firstLineChars="0"/>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1</w:t>
            </w:r>
            <w:r>
              <w:rPr>
                <w:rFonts w:hint="default" w:ascii="Times New Roman" w:hAnsi="Times New Roman" w:cs="Times New Roman"/>
                <w:color w:val="auto"/>
                <w:szCs w:val="21"/>
                <w:highlight w:val="none"/>
              </w:rPr>
              <w:t>. 输电线路路径</w:t>
            </w:r>
          </w:p>
          <w:p w14:paraId="78A09D18">
            <w:pPr>
              <w:pStyle w:val="123"/>
              <w:ind w:firstLine="0" w:firstLineChars="0"/>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2.1白沙站T接茅洲~柳北110千伏线路工程</w:t>
            </w:r>
          </w:p>
          <w:p w14:paraId="3E48D56F">
            <w:pPr>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线路起于110kV白沙变电站，沿白沙大道东侧人行道往南走线，至长兴路口左转，沿长兴路北侧人行道走线至滨江东路，在滨江东路的西侧人行道往北走线，穿过河东大桥桥底，继续沿滨江东路西侧走线，在110</w:t>
            </w:r>
            <w:r>
              <w:rPr>
                <w:rFonts w:hint="eastAsia" w:cs="Times New Roman"/>
                <w:color w:val="auto"/>
                <w:sz w:val="24"/>
                <w:highlight w:val="none"/>
                <w:lang w:val="en-US" w:eastAsia="zh-CN"/>
              </w:rPr>
              <w:t>k</w:t>
            </w:r>
            <w:r>
              <w:rPr>
                <w:rFonts w:hint="default" w:ascii="Times New Roman" w:hAnsi="Times New Roman" w:cs="Times New Roman"/>
                <w:color w:val="auto"/>
                <w:sz w:val="24"/>
                <w:highlight w:val="none"/>
              </w:rPr>
              <w:t>V柳黄北茅线#18塔处电缆上塔T接。</w:t>
            </w:r>
          </w:p>
          <w:p w14:paraId="744BDFFB">
            <w:pPr>
              <w:autoSpaceDN w:val="0"/>
              <w:adjustRightInd w:val="0"/>
              <w:spacing w:line="360" w:lineRule="auto"/>
              <w:ind w:firstLine="480" w:firstLineChars="200"/>
              <w:rPr>
                <w:rFonts w:hint="default"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线路路径图见附图</w:t>
            </w: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rPr>
              <w:t>。</w:t>
            </w:r>
          </w:p>
          <w:p w14:paraId="7F8C6941">
            <w:pPr>
              <w:pStyle w:val="123"/>
              <w:ind w:firstLine="0" w:firstLineChars="0"/>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2.2</w:t>
            </w:r>
            <w:r>
              <w:rPr>
                <w:rFonts w:hint="default" w:ascii="Times New Roman" w:hAnsi="Times New Roman" w:cs="Times New Roman"/>
                <w:color w:val="auto"/>
                <w:szCs w:val="21"/>
                <w:highlight w:val="none"/>
                <w:lang w:val="en-US" w:eastAsia="zh-CN"/>
              </w:rPr>
              <w:t xml:space="preserve"> 调整黄村变接线方式</w:t>
            </w:r>
          </w:p>
          <w:p w14:paraId="0C2E44FC">
            <w:pPr>
              <w:autoSpaceDN w:val="0"/>
              <w:adjustRightInd w:val="0"/>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在110kV河北变电站内调整黄村站T接点的位置，在原柳白黄北线#16～#17档线路下方新建1基电缆终端钢管杆，并将该档原有导、地线挂于新建电缆终端杆的大号侧，解开至黄村变的柳黄北茅线T接点</w:t>
            </w:r>
            <w:r>
              <w:rPr>
                <w:rFonts w:hint="eastAsia" w:cs="Times New Roman"/>
                <w:color w:val="auto"/>
                <w:sz w:val="24"/>
                <w:highlight w:val="none"/>
                <w:lang w:val="en-US" w:eastAsia="zh-CN"/>
              </w:rPr>
              <w:t>。</w:t>
            </w:r>
          </w:p>
          <w:p w14:paraId="0D43D891">
            <w:pPr>
              <w:pStyle w:val="123"/>
              <w:ind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3.施工布置</w:t>
            </w:r>
          </w:p>
          <w:p w14:paraId="0D75DFC7">
            <w:pPr>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（1）施工生产生活区</w:t>
            </w:r>
          </w:p>
          <w:p w14:paraId="73CAE670">
            <w:pPr>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根据设计单位提供资料，本项目</w:t>
            </w:r>
            <w:r>
              <w:rPr>
                <w:rFonts w:hint="default" w:ascii="Times New Roman" w:hAnsi="Times New Roman" w:cs="Times New Roman"/>
                <w:color w:val="auto"/>
                <w:sz w:val="24"/>
                <w:highlight w:val="none"/>
                <w:lang w:val="en-US" w:eastAsia="zh-CN"/>
              </w:rPr>
              <w:t>线路</w:t>
            </w:r>
            <w:r>
              <w:rPr>
                <w:rFonts w:hint="default" w:ascii="Times New Roman" w:hAnsi="Times New Roman" w:cs="Times New Roman"/>
                <w:color w:val="auto"/>
                <w:sz w:val="24"/>
                <w:highlight w:val="none"/>
              </w:rPr>
              <w:t>施工人员租住在线路沿线村庄，不单独设立施工生产生活区。</w:t>
            </w:r>
          </w:p>
          <w:p w14:paraId="0E5ABB08">
            <w:pPr>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）施工道路布置</w:t>
            </w:r>
          </w:p>
          <w:p w14:paraId="41C41F9E">
            <w:pPr>
              <w:autoSpaceDN w:val="0"/>
              <w:adjustRightInd w:val="0"/>
              <w:spacing w:line="360" w:lineRule="auto"/>
              <w:ind w:firstLine="480" w:firstLineChars="200"/>
              <w:rPr>
                <w:rFonts w:hint="default" w:eastAsia="宋体"/>
                <w:color w:val="auto"/>
                <w:sz w:val="24"/>
                <w:szCs w:val="24"/>
                <w:highlight w:val="none"/>
                <w:lang w:val="en-US" w:eastAsia="zh-CN"/>
              </w:rPr>
            </w:pPr>
            <w:r>
              <w:rPr>
                <w:rFonts w:hint="eastAsia"/>
                <w:color w:val="auto"/>
                <w:sz w:val="24"/>
                <w:szCs w:val="24"/>
                <w:highlight w:val="none"/>
                <w:lang w:val="en-US" w:eastAsia="zh-CN"/>
              </w:rPr>
              <w:t>输电线路沿线区域有分布广泛的道路，施工材料利用已有的道路运输至施工区。</w:t>
            </w:r>
          </w:p>
          <w:p w14:paraId="482464EB">
            <w:pPr>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）施工场地布置</w:t>
            </w:r>
          </w:p>
          <w:p w14:paraId="51CB67B2">
            <w:pPr>
              <w:autoSpaceDN w:val="0"/>
              <w:adjustRightInd w:val="0"/>
              <w:spacing w:line="360" w:lineRule="auto"/>
              <w:ind w:firstLine="480" w:firstLineChars="200"/>
              <w:rPr>
                <w:rFonts w:hint="default" w:ascii="Times New Roman" w:hAnsi="Times New Roman" w:cs="Times New Roman"/>
                <w:color w:val="auto"/>
                <w:sz w:val="24"/>
                <w:highlight w:val="none"/>
                <w:u w:val="none"/>
              </w:rPr>
            </w:pPr>
            <w:r>
              <w:rPr>
                <w:rFonts w:hint="eastAsia"/>
                <w:color w:val="auto"/>
                <w:sz w:val="24"/>
                <w:highlight w:val="none"/>
                <w:lang w:val="en-US" w:eastAsia="zh-CN"/>
              </w:rPr>
              <w:t>埋</w:t>
            </w:r>
            <w:r>
              <w:rPr>
                <w:rFonts w:hint="eastAsia"/>
                <w:color w:val="auto"/>
                <w:sz w:val="24"/>
                <w:highlight w:val="none"/>
              </w:rPr>
              <w:t>管敷设段开挖断面为宽×深=</w:t>
            </w:r>
            <w:r>
              <w:rPr>
                <w:rFonts w:hint="eastAsia"/>
                <w:color w:val="auto"/>
                <w:sz w:val="24"/>
                <w:highlight w:val="none"/>
                <w:lang w:val="en-US" w:eastAsia="zh-CN"/>
              </w:rPr>
              <w:t>0.9</w:t>
            </w:r>
            <w:r>
              <w:rPr>
                <w:rFonts w:hint="eastAsia"/>
                <w:color w:val="auto"/>
                <w:sz w:val="24"/>
                <w:highlight w:val="none"/>
              </w:rPr>
              <w:t>m×</w:t>
            </w:r>
            <w:r>
              <w:rPr>
                <w:rFonts w:hint="eastAsia"/>
                <w:color w:val="auto"/>
                <w:sz w:val="24"/>
                <w:highlight w:val="none"/>
                <w:lang w:val="en-US" w:eastAsia="zh-CN"/>
              </w:rPr>
              <w:t>1.6</w:t>
            </w:r>
            <w:r>
              <w:rPr>
                <w:rFonts w:hint="eastAsia"/>
                <w:color w:val="auto"/>
                <w:sz w:val="24"/>
                <w:highlight w:val="none"/>
              </w:rPr>
              <w:t>m</w:t>
            </w:r>
            <w:r>
              <w:rPr>
                <w:rFonts w:hint="eastAsia"/>
                <w:color w:val="auto"/>
                <w:sz w:val="24"/>
                <w:highlight w:val="none"/>
                <w:lang w:eastAsia="zh-CN"/>
              </w:rPr>
              <w:t>，</w:t>
            </w:r>
            <w:r>
              <w:rPr>
                <w:rFonts w:hint="eastAsia"/>
                <w:color w:val="auto"/>
                <w:sz w:val="24"/>
                <w:highlight w:val="none"/>
              </w:rPr>
              <w:t>管沟开挖的土方堆放在沟槽一侧，考虑临时堆土等施工占地，施工作业带宽</w:t>
            </w:r>
            <w:r>
              <w:rPr>
                <w:rFonts w:hint="eastAsia"/>
                <w:color w:val="auto"/>
                <w:sz w:val="24"/>
                <w:highlight w:val="none"/>
                <w:lang w:val="en-US" w:eastAsia="zh-CN"/>
              </w:rPr>
              <w:t>约</w:t>
            </w:r>
            <w:r>
              <w:rPr>
                <w:rFonts w:hint="eastAsia"/>
                <w:color w:val="auto"/>
                <w:sz w:val="24"/>
                <w:highlight w:val="none"/>
              </w:rPr>
              <w:t>为4m</w:t>
            </w:r>
            <w:r>
              <w:rPr>
                <w:rFonts w:hint="eastAsia"/>
                <w:color w:val="auto"/>
                <w:sz w:val="24"/>
                <w:highlight w:val="none"/>
                <w:lang w:eastAsia="zh-CN"/>
              </w:rPr>
              <w:t>，</w:t>
            </w:r>
            <w:r>
              <w:rPr>
                <w:rFonts w:hint="eastAsia"/>
                <w:color w:val="auto"/>
                <w:sz w:val="24"/>
                <w:highlight w:val="none"/>
                <w:lang w:val="en-US" w:eastAsia="zh-CN"/>
              </w:rPr>
              <w:t>占地面积约840</w:t>
            </w:r>
            <w:r>
              <w:rPr>
                <w:rFonts w:hint="eastAsia"/>
                <w:color w:val="auto"/>
                <w:sz w:val="24"/>
                <w:highlight w:val="none"/>
              </w:rPr>
              <w:t>m</w:t>
            </w:r>
            <w:r>
              <w:rPr>
                <w:rFonts w:hint="eastAsia"/>
                <w:color w:val="auto"/>
                <w:sz w:val="24"/>
                <w:highlight w:val="none"/>
                <w:vertAlign w:val="superscript"/>
              </w:rPr>
              <w:t>2</w:t>
            </w:r>
            <w:r>
              <w:rPr>
                <w:rFonts w:hint="eastAsia"/>
                <w:color w:val="auto"/>
                <w:sz w:val="24"/>
                <w:highlight w:val="none"/>
                <w:lang w:eastAsia="zh-CN"/>
              </w:rPr>
              <w:t>。</w:t>
            </w:r>
            <w:r>
              <w:rPr>
                <w:rFonts w:hint="eastAsia"/>
                <w:color w:val="auto"/>
                <w:sz w:val="24"/>
                <w:highlight w:val="none"/>
                <w:lang w:val="en-US" w:eastAsia="zh-CN"/>
              </w:rPr>
              <w:t>利旧</w:t>
            </w:r>
            <w:r>
              <w:rPr>
                <w:rFonts w:hint="eastAsia"/>
                <w:color w:val="auto"/>
                <w:sz w:val="24"/>
                <w:highlight w:val="none"/>
              </w:rPr>
              <w:t>敷设</w:t>
            </w:r>
            <w:r>
              <w:rPr>
                <w:rFonts w:hint="eastAsia"/>
                <w:color w:val="auto"/>
                <w:sz w:val="24"/>
                <w:highlight w:val="none"/>
                <w:lang w:val="en-US" w:eastAsia="zh-CN"/>
              </w:rPr>
              <w:t>段</w:t>
            </w:r>
            <w:r>
              <w:rPr>
                <w:rFonts w:hint="eastAsia" w:ascii="Times New Roman" w:hAnsi="Times New Roman" w:eastAsia="宋体" w:cs="Times New Roman"/>
                <w:color w:val="auto"/>
                <w:sz w:val="24"/>
                <w:highlight w:val="none"/>
                <w:lang w:val="en-US" w:eastAsia="zh-CN"/>
              </w:rPr>
              <w:t>施工临时占地布设在工作井附近</w:t>
            </w:r>
            <w:r>
              <w:rPr>
                <w:rFonts w:hint="eastAsia" w:cs="Times New Roman"/>
                <w:color w:val="auto"/>
                <w:sz w:val="24"/>
                <w:highlight w:val="none"/>
                <w:lang w:val="en-US" w:eastAsia="zh-CN"/>
              </w:rPr>
              <w:t>，占地面积约2160</w:t>
            </w:r>
            <w:r>
              <w:rPr>
                <w:rFonts w:hint="eastAsia"/>
                <w:color w:val="auto"/>
                <w:sz w:val="24"/>
                <w:highlight w:val="none"/>
              </w:rPr>
              <w:t>m</w:t>
            </w:r>
            <w:r>
              <w:rPr>
                <w:rFonts w:hint="eastAsia"/>
                <w:color w:val="auto"/>
                <w:sz w:val="24"/>
                <w:highlight w:val="none"/>
                <w:vertAlign w:val="superscript"/>
              </w:rPr>
              <w:t>2</w:t>
            </w:r>
            <w:r>
              <w:rPr>
                <w:rFonts w:hint="eastAsia"/>
                <w:color w:val="auto"/>
                <w:sz w:val="24"/>
                <w:highlight w:val="none"/>
                <w:lang w:eastAsia="zh-CN"/>
              </w:rPr>
              <w:t>。</w:t>
            </w:r>
            <w:r>
              <w:rPr>
                <w:rFonts w:hint="eastAsia"/>
                <w:color w:val="auto"/>
                <w:sz w:val="24"/>
                <w:highlight w:val="none"/>
                <w:lang w:val="en-US" w:eastAsia="zh-CN"/>
              </w:rPr>
              <w:t>因此，电缆通道</w:t>
            </w:r>
            <w:r>
              <w:rPr>
                <w:rFonts w:hint="eastAsia"/>
                <w:color w:val="auto"/>
                <w:sz w:val="24"/>
                <w:highlight w:val="none"/>
              </w:rPr>
              <w:t>临时占地面积</w:t>
            </w:r>
            <w:r>
              <w:rPr>
                <w:rFonts w:hint="eastAsia"/>
                <w:color w:val="auto"/>
                <w:sz w:val="24"/>
                <w:highlight w:val="none"/>
                <w:lang w:val="en-US" w:eastAsia="zh-CN"/>
              </w:rPr>
              <w:t>约</w:t>
            </w:r>
            <w:r>
              <w:rPr>
                <w:rFonts w:hint="eastAsia"/>
                <w:color w:val="auto"/>
                <w:sz w:val="24"/>
                <w:highlight w:val="none"/>
              </w:rPr>
              <w:t>为</w:t>
            </w:r>
            <w:r>
              <w:rPr>
                <w:rFonts w:hint="eastAsia"/>
                <w:color w:val="auto"/>
                <w:sz w:val="24"/>
                <w:highlight w:val="none"/>
                <w:lang w:val="en-US" w:eastAsia="zh-CN"/>
              </w:rPr>
              <w:t>3000</w:t>
            </w:r>
            <w:r>
              <w:rPr>
                <w:rFonts w:hint="eastAsia"/>
                <w:color w:val="auto"/>
                <w:sz w:val="24"/>
                <w:highlight w:val="none"/>
              </w:rPr>
              <w:t>m</w:t>
            </w:r>
            <w:r>
              <w:rPr>
                <w:rFonts w:hint="eastAsia"/>
                <w:color w:val="auto"/>
                <w:sz w:val="24"/>
                <w:highlight w:val="none"/>
                <w:vertAlign w:val="superscript"/>
              </w:rPr>
              <w:t>2</w:t>
            </w:r>
            <w:r>
              <w:rPr>
                <w:rFonts w:hint="eastAsia"/>
                <w:color w:val="auto"/>
                <w:sz w:val="24"/>
                <w:highlight w:val="none"/>
                <w:lang w:eastAsia="zh-CN"/>
              </w:rPr>
              <w:t>。</w:t>
            </w:r>
          </w:p>
          <w:p w14:paraId="6FB5B23D">
            <w:pPr>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4</w:t>
            </w:r>
            <w:r>
              <w:rPr>
                <w:rFonts w:hint="default" w:ascii="Times New Roman" w:hAnsi="Times New Roman" w:cs="Times New Roman"/>
                <w:color w:val="auto"/>
                <w:sz w:val="24"/>
                <w:highlight w:val="none"/>
              </w:rPr>
              <w:t>）</w:t>
            </w:r>
            <w:r>
              <w:rPr>
                <w:color w:val="auto"/>
                <w:sz w:val="24"/>
                <w:highlight w:val="none"/>
              </w:rPr>
              <w:t>其他临建设施</w:t>
            </w:r>
          </w:p>
          <w:p w14:paraId="30D2C645">
            <w:pPr>
              <w:autoSpaceDN w:val="0"/>
              <w:adjustRightInd w:val="0"/>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default" w:ascii="Times New Roman" w:hAnsi="Times New Roman" w:cs="Times New Roman"/>
                <w:color w:val="auto"/>
                <w:sz w:val="24"/>
                <w:highlight w:val="none"/>
              </w:rPr>
              <w:t>线路主要的材料站和相关办公场地均租用当地房屋，不进行临时建设。本项目使用商品混凝土，材料站主要堆放塔材、</w:t>
            </w:r>
            <w:r>
              <w:rPr>
                <w:rFonts w:hint="eastAsia" w:cs="Times New Roman"/>
                <w:color w:val="auto"/>
                <w:sz w:val="24"/>
                <w:highlight w:val="none"/>
                <w:lang w:val="en-US" w:eastAsia="zh-CN"/>
              </w:rPr>
              <w:t>电缆</w:t>
            </w:r>
            <w:r>
              <w:rPr>
                <w:rFonts w:hint="default" w:ascii="Times New Roman" w:hAnsi="Times New Roman" w:cs="Times New Roman"/>
                <w:color w:val="auto"/>
                <w:sz w:val="24"/>
                <w:highlight w:val="none"/>
              </w:rPr>
              <w:t>、金具等。</w:t>
            </w:r>
          </w:p>
        </w:tc>
      </w:tr>
      <w:tr w14:paraId="5E429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235" w:type="pct"/>
            <w:vAlign w:val="center"/>
          </w:tcPr>
          <w:p w14:paraId="43DFED8A">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施工方案</w:t>
            </w:r>
          </w:p>
        </w:tc>
        <w:tc>
          <w:tcPr>
            <w:tcW w:w="4764" w:type="pct"/>
            <w:vAlign w:val="center"/>
          </w:tcPr>
          <w:p w14:paraId="3EF70C75">
            <w:pPr>
              <w:keepNext/>
              <w:keepLines/>
              <w:tabs>
                <w:tab w:val="left" w:pos="420"/>
                <w:tab w:val="left" w:pos="567"/>
              </w:tabs>
              <w:spacing w:before="120" w:line="360" w:lineRule="auto"/>
              <w:jc w:val="left"/>
              <w:outlineLvl w:val="1"/>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1.施工工艺</w:t>
            </w:r>
          </w:p>
          <w:p w14:paraId="5A6433AC">
            <w:pPr>
              <w:pageBreakBefore w:val="0"/>
              <w:widowControl w:val="0"/>
              <w:kinsoku/>
              <w:wordWrap/>
              <w:overflowPunct/>
              <w:topLinePunct w:val="0"/>
              <w:autoSpaceDE/>
              <w:autoSpaceDN/>
              <w:bidi w:val="0"/>
              <w:adjustRightInd/>
              <w:snapToGrid/>
              <w:spacing w:line="336" w:lineRule="auto"/>
              <w:ind w:right="0" w:rightChars="0"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eastAsia="zh-CN"/>
              </w:rPr>
              <w:t>（</w:t>
            </w:r>
            <w:r>
              <w:rPr>
                <w:rFonts w:hint="eastAsia" w:cs="Times New Roman"/>
                <w:color w:val="auto"/>
                <w:sz w:val="24"/>
                <w:highlight w:val="none"/>
                <w:lang w:val="en-US" w:eastAsia="zh-CN"/>
              </w:rPr>
              <w:t>1</w:t>
            </w:r>
            <w:r>
              <w:rPr>
                <w:rFonts w:hint="eastAsia" w:cs="Times New Roman"/>
                <w:color w:val="auto"/>
                <w:sz w:val="24"/>
                <w:highlight w:val="none"/>
                <w:lang w:eastAsia="zh-CN"/>
              </w:rPr>
              <w:t>）</w:t>
            </w:r>
            <w:r>
              <w:rPr>
                <w:rFonts w:hint="eastAsia" w:cs="Times New Roman"/>
                <w:color w:val="auto"/>
                <w:sz w:val="24"/>
                <w:highlight w:val="none"/>
                <w:lang w:val="en-US" w:eastAsia="zh-CN"/>
              </w:rPr>
              <w:t>电缆线路</w:t>
            </w:r>
          </w:p>
          <w:p w14:paraId="42AB0213">
            <w:pPr>
              <w:pageBreakBefore w:val="0"/>
              <w:widowControl w:val="0"/>
              <w:kinsoku/>
              <w:wordWrap/>
              <w:overflowPunct/>
              <w:topLinePunct w:val="0"/>
              <w:autoSpaceDE/>
              <w:autoSpaceDN/>
              <w:bidi w:val="0"/>
              <w:adjustRightInd/>
              <w:snapToGrid/>
              <w:spacing w:line="336" w:lineRule="auto"/>
              <w:ind w:right="0" w:rightChars="0"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1</w:t>
            </w:r>
            <w:r>
              <w:rPr>
                <w:rFonts w:hint="eastAsia" w:cs="Times New Roman"/>
                <w:color w:val="auto"/>
                <w:sz w:val="24"/>
                <w:highlight w:val="none"/>
                <w:lang w:eastAsia="zh-CN"/>
              </w:rPr>
              <w:t>）</w:t>
            </w:r>
            <w:r>
              <w:rPr>
                <w:rFonts w:hint="eastAsia" w:cs="Times New Roman"/>
                <w:color w:val="auto"/>
                <w:sz w:val="24"/>
                <w:highlight w:val="none"/>
                <w:lang w:val="en-US" w:eastAsia="zh-CN"/>
              </w:rPr>
              <w:t>电缆敷设</w:t>
            </w:r>
          </w:p>
          <w:p w14:paraId="5C749A21">
            <w:pPr>
              <w:pageBreakBefore w:val="0"/>
              <w:widowControl w:val="0"/>
              <w:kinsoku/>
              <w:wordWrap/>
              <w:overflowPunct/>
              <w:topLinePunct w:val="0"/>
              <w:autoSpaceDE/>
              <w:autoSpaceDN/>
              <w:bidi w:val="0"/>
              <w:adjustRightInd/>
              <w:snapToGrid/>
              <w:spacing w:line="336" w:lineRule="auto"/>
              <w:ind w:right="0" w:rightChars="0"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w:t>
            </w:r>
            <w:r>
              <w:rPr>
                <w:rFonts w:hint="eastAsia" w:ascii="Times New Roman" w:hAnsi="Times New Roman" w:cs="Times New Roman"/>
                <w:color w:val="auto"/>
                <w:sz w:val="24"/>
                <w:highlight w:val="none"/>
                <w:lang w:val="en-US" w:eastAsia="zh-CN"/>
              </w:rPr>
              <w:t>新建段</w:t>
            </w:r>
            <w:r>
              <w:rPr>
                <w:rFonts w:hint="default" w:ascii="Times New Roman" w:hAnsi="Times New Roman" w:cs="Times New Roman"/>
                <w:color w:val="auto"/>
                <w:sz w:val="24"/>
                <w:highlight w:val="none"/>
              </w:rPr>
              <w:t>电缆采用</w:t>
            </w:r>
            <w:r>
              <w:rPr>
                <w:rFonts w:hint="eastAsia" w:ascii="Times New Roman" w:hAnsi="Times New Roman" w:cs="Times New Roman"/>
                <w:color w:val="auto"/>
                <w:sz w:val="24"/>
                <w:highlight w:val="none"/>
                <w:lang w:val="en-US" w:eastAsia="zh-CN"/>
              </w:rPr>
              <w:t>排管的</w:t>
            </w:r>
            <w:r>
              <w:rPr>
                <w:rFonts w:hint="default" w:ascii="Times New Roman" w:hAnsi="Times New Roman" w:cs="Times New Roman"/>
                <w:color w:val="auto"/>
                <w:sz w:val="24"/>
                <w:highlight w:val="none"/>
              </w:rPr>
              <w:t>敷设</w:t>
            </w:r>
            <w:r>
              <w:rPr>
                <w:rFonts w:hint="eastAsia" w:ascii="Times New Roman" w:hAnsi="Times New Roman" w:cs="Times New Roman"/>
                <w:color w:val="auto"/>
                <w:sz w:val="24"/>
                <w:highlight w:val="none"/>
                <w:lang w:val="en-US" w:eastAsia="zh-CN"/>
              </w:rPr>
              <w:t>方式</w:t>
            </w:r>
            <w:r>
              <w:rPr>
                <w:rFonts w:hint="default" w:ascii="Times New Roman" w:hAnsi="Times New Roman" w:cs="Times New Roman"/>
                <w:color w:val="auto"/>
                <w:sz w:val="24"/>
                <w:highlight w:val="none"/>
              </w:rPr>
              <w:t>，施工流程如下：</w:t>
            </w:r>
          </w:p>
          <w:p w14:paraId="506902E3">
            <w:pPr>
              <w:spacing w:line="336"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定位</w:t>
            </w:r>
            <w:r>
              <w:rPr>
                <w:rFonts w:ascii="宋体" w:hAnsi="宋体" w:eastAsia="宋体" w:cs="宋体"/>
                <w:color w:val="auto"/>
                <w:sz w:val="24"/>
                <w:szCs w:val="24"/>
                <w:highlight w:val="none"/>
              </w:rPr>
              <w:t>放线→</w:t>
            </w:r>
            <w:r>
              <w:rPr>
                <w:rFonts w:hint="eastAsia" w:ascii="宋体" w:hAnsi="宋体" w:eastAsia="宋体" w:cs="宋体"/>
                <w:color w:val="auto"/>
                <w:sz w:val="24"/>
                <w:szCs w:val="24"/>
                <w:highlight w:val="none"/>
                <w:lang w:eastAsia="zh-CN"/>
              </w:rPr>
              <w:t>电缆沟槽开挖</w:t>
            </w:r>
            <w:r>
              <w:rPr>
                <w:rFonts w:ascii="宋体" w:hAnsi="宋体" w:eastAsia="宋体" w:cs="宋体"/>
                <w:color w:val="auto"/>
                <w:sz w:val="24"/>
                <w:szCs w:val="24"/>
                <w:highlight w:val="none"/>
              </w:rPr>
              <w:t>→人工清槽→垫层施工→</w:t>
            </w:r>
            <w:r>
              <w:rPr>
                <w:rFonts w:hint="eastAsia" w:ascii="宋体" w:hAnsi="宋体" w:eastAsia="宋体" w:cs="宋体"/>
                <w:color w:val="auto"/>
                <w:sz w:val="24"/>
                <w:szCs w:val="24"/>
                <w:highlight w:val="none"/>
                <w:lang w:eastAsia="zh-CN"/>
              </w:rPr>
              <w:t>电缆</w:t>
            </w:r>
            <w:r>
              <w:rPr>
                <w:rFonts w:ascii="宋体" w:hAnsi="宋体" w:eastAsia="宋体" w:cs="宋体"/>
                <w:color w:val="auto"/>
                <w:sz w:val="24"/>
                <w:szCs w:val="24"/>
                <w:highlight w:val="none"/>
              </w:rPr>
              <w:t>敷设→回填土→恢复原路面→竣工清理。</w:t>
            </w:r>
          </w:p>
          <w:p w14:paraId="0AC5F1B7">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GB"/>
              </w:rPr>
              <w:t>本</w:t>
            </w:r>
            <w:r>
              <w:rPr>
                <w:rFonts w:hint="eastAsia" w:ascii="Times New Roman" w:hAnsi="Times New Roman" w:eastAsia="宋体" w:cs="Times New Roman"/>
                <w:color w:val="auto"/>
                <w:sz w:val="24"/>
                <w:szCs w:val="24"/>
                <w:highlight w:val="none"/>
                <w:lang w:val="en-US" w:eastAsia="zh-CN"/>
              </w:rPr>
              <w:t>项目</w:t>
            </w:r>
            <w:r>
              <w:rPr>
                <w:rFonts w:hint="eastAsia" w:ascii="Times New Roman" w:hAnsi="Times New Roman" w:eastAsia="宋体" w:cs="Times New Roman"/>
                <w:color w:val="auto"/>
                <w:sz w:val="24"/>
                <w:szCs w:val="24"/>
                <w:highlight w:val="none"/>
                <w:lang w:val="en-GB"/>
              </w:rPr>
              <w:t>电缆敷设采用电缆输送机和牵引机组合的敷设方式。在电缆敷设路径上布置电缆输送机及滑车，布置并调试控制系统及通讯系统。施工时使用提升机将电缆盘提升并支撑，将电缆牵引端引下，在电缆牵引头和牵引绳之间安装防捻器，通</w:t>
            </w:r>
            <w:r>
              <w:rPr>
                <w:rFonts w:hint="eastAsia" w:ascii="Times New Roman" w:hAnsi="Times New Roman" w:eastAsia="宋体" w:cs="Times New Roman"/>
                <w:color w:val="auto"/>
                <w:sz w:val="24"/>
                <w:szCs w:val="24"/>
                <w:highlight w:val="none"/>
                <w:lang w:val="en-US" w:eastAsia="zh-CN"/>
              </w:rPr>
              <w:t>过</w:t>
            </w:r>
            <w:r>
              <w:rPr>
                <w:rFonts w:hint="eastAsia" w:ascii="Times New Roman" w:hAnsi="Times New Roman" w:eastAsia="宋体" w:cs="Times New Roman"/>
                <w:color w:val="auto"/>
                <w:sz w:val="24"/>
                <w:szCs w:val="24"/>
                <w:highlight w:val="none"/>
                <w:lang w:val="en-GB"/>
              </w:rPr>
              <w:t>人工或机械将电缆牵引至电缆输送机。同时需在各转角安装转弯滑车，在直线上每隔5米布置一个直滑车，再配合牵引机实现电缆输送。电缆输送完成后，将电缆放至指定位置，并按要求进行绑扎或固定。</w:t>
            </w:r>
          </w:p>
          <w:p w14:paraId="3F9EC1A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Times New Roman" w:hAnsi="Times New Roman"/>
                <w:color w:val="auto"/>
                <w:highlight w:val="none"/>
              </w:rPr>
            </w:pPr>
            <w:r>
              <w:rPr>
                <w:rFonts w:ascii="Times New Roman" w:hAnsi="Times New Roman"/>
                <w:color w:val="auto"/>
                <w:highlight w:val="none"/>
              </w:rPr>
              <w:drawing>
                <wp:inline distT="0" distB="0" distL="114300" distR="114300">
                  <wp:extent cx="4808220" cy="1699260"/>
                  <wp:effectExtent l="9525" t="9525" r="20955" b="18415"/>
                  <wp:docPr id="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
                          <pic:cNvPicPr>
                            <a:picLocks noChangeAspect="1"/>
                          </pic:cNvPicPr>
                        </pic:nvPicPr>
                        <pic:blipFill>
                          <a:blip r:embed="rId13"/>
                          <a:srcRect l="5754" t="9772" r="4266" b="25496"/>
                          <a:stretch>
                            <a:fillRect/>
                          </a:stretch>
                        </pic:blipFill>
                        <pic:spPr>
                          <a:xfrm>
                            <a:off x="0" y="0"/>
                            <a:ext cx="4808220" cy="1699260"/>
                          </a:xfrm>
                          <a:prstGeom prst="rect">
                            <a:avLst/>
                          </a:prstGeom>
                          <a:noFill/>
                          <a:ln w="9525" cap="flat" cmpd="sng">
                            <a:solidFill>
                              <a:srgbClr val="000000"/>
                            </a:solidFill>
                            <a:prstDash val="solid"/>
                            <a:miter/>
                            <a:headEnd type="none" w="med" len="med"/>
                            <a:tailEnd type="none" w="med" len="med"/>
                          </a:ln>
                        </pic:spPr>
                      </pic:pic>
                    </a:graphicData>
                  </a:graphic>
                </wp:inline>
              </w:drawing>
            </w:r>
          </w:p>
          <w:p w14:paraId="1053B90A">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rPr>
              <w:t>电缆敷设过程</w:t>
            </w:r>
            <w:r>
              <w:rPr>
                <w:rFonts w:hint="eastAsia" w:ascii="Times New Roman" w:hAnsi="Times New Roman" w:eastAsia="宋体" w:cs="Times New Roman"/>
                <w:b/>
                <w:bCs/>
                <w:color w:val="auto"/>
                <w:sz w:val="24"/>
                <w:highlight w:val="none"/>
                <w:lang w:val="en-US" w:eastAsia="zh-CN"/>
              </w:rPr>
              <w:t>示意图</w:t>
            </w:r>
          </w:p>
          <w:p w14:paraId="63E90093">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leftChars="0" w:firstLine="482" w:firstLineChars="200"/>
              <w:jc w:val="both"/>
              <w:textAlignment w:val="auto"/>
              <w:rPr>
                <w:rFonts w:hint="eastAsia" w:cs="Times New Roman"/>
                <w:b/>
                <w:bCs/>
                <w:color w:val="auto"/>
                <w:kern w:val="2"/>
                <w:sz w:val="24"/>
                <w:szCs w:val="24"/>
                <w:highlight w:val="none"/>
                <w:lang w:val="en-US" w:eastAsia="zh-CN" w:bidi="ar-SA"/>
              </w:rPr>
            </w:pPr>
            <w:r>
              <w:rPr>
                <w:rFonts w:hint="eastAsia" w:cs="Times New Roman"/>
                <w:b/>
                <w:bCs/>
                <w:color w:val="auto"/>
                <w:kern w:val="2"/>
                <w:sz w:val="24"/>
                <w:szCs w:val="24"/>
                <w:highlight w:val="none"/>
                <w:lang w:val="en-US" w:eastAsia="zh-CN" w:bidi="ar-SA"/>
              </w:rPr>
              <w:t>电缆上塔</w:t>
            </w:r>
          </w:p>
          <w:p w14:paraId="25B82ADF">
            <w:pPr>
              <w:spacing w:line="360" w:lineRule="auto"/>
              <w:ind w:firstLine="480" w:firstLineChars="200"/>
              <w:rPr>
                <w:rFonts w:hint="eastAsia" w:eastAsia="宋体" w:cs="Times New Roman"/>
                <w:b/>
                <w:bCs/>
                <w:color w:val="auto"/>
                <w:kern w:val="2"/>
                <w:sz w:val="24"/>
                <w:szCs w:val="24"/>
                <w:highlight w:val="none"/>
                <w:lang w:val="en-US" w:eastAsia="zh-CN" w:bidi="ar-SA"/>
              </w:rPr>
            </w:pPr>
            <w:r>
              <w:rPr>
                <w:rFonts w:ascii="Segoe UI" w:hAnsi="Segoe UI" w:eastAsia="Segoe UI" w:cs="Segoe UI"/>
                <w:i w:val="0"/>
                <w:iCs w:val="0"/>
                <w:caps w:val="0"/>
                <w:color w:val="auto"/>
                <w:spacing w:val="0"/>
                <w:sz w:val="24"/>
                <w:szCs w:val="24"/>
                <w:highlight w:val="none"/>
                <w:shd w:val="clear" w:fill="FFFFFF"/>
              </w:rPr>
              <w:t>电缆从排管引出后</w:t>
            </w:r>
            <w:r>
              <w:rPr>
                <w:rFonts w:hint="default" w:ascii="Segoe UI" w:hAnsi="Segoe UI" w:eastAsia="Segoe UI" w:cs="Segoe UI"/>
                <w:i w:val="0"/>
                <w:iCs w:val="0"/>
                <w:caps w:val="0"/>
                <w:color w:val="auto"/>
                <w:spacing w:val="0"/>
                <w:sz w:val="24"/>
                <w:szCs w:val="24"/>
                <w:highlight w:val="none"/>
                <w:shd w:val="clear" w:fill="FFFFFF"/>
              </w:rPr>
              <w:t>，沿塔身敷设</w:t>
            </w:r>
            <w:r>
              <w:rPr>
                <w:rFonts w:hint="eastAsia" w:ascii="Segoe UI" w:hAnsi="Segoe UI" w:eastAsia="宋体" w:cs="Segoe UI"/>
                <w:i w:val="0"/>
                <w:iCs w:val="0"/>
                <w:caps w:val="0"/>
                <w:color w:val="auto"/>
                <w:spacing w:val="0"/>
                <w:sz w:val="24"/>
                <w:szCs w:val="24"/>
                <w:highlight w:val="none"/>
                <w:shd w:val="clear" w:fill="FFFFFF"/>
                <w:lang w:eastAsia="zh-CN"/>
              </w:rPr>
              <w:t>垂直提升</w:t>
            </w:r>
            <w:r>
              <w:rPr>
                <w:rFonts w:hint="default" w:ascii="Segoe UI" w:hAnsi="Segoe UI" w:eastAsia="Segoe UI" w:cs="Segoe UI"/>
                <w:i w:val="0"/>
                <w:iCs w:val="0"/>
                <w:caps w:val="0"/>
                <w:color w:val="auto"/>
                <w:spacing w:val="0"/>
                <w:sz w:val="24"/>
                <w:szCs w:val="24"/>
                <w:highlight w:val="none"/>
                <w:shd w:val="clear" w:fill="FFFFFF"/>
              </w:rPr>
              <w:t>至电缆终端平台</w:t>
            </w:r>
            <w:r>
              <w:rPr>
                <w:rFonts w:hint="eastAsia" w:ascii="Segoe UI" w:hAnsi="Segoe UI" w:eastAsia="宋体" w:cs="Segoe UI"/>
                <w:i w:val="0"/>
                <w:iCs w:val="0"/>
                <w:caps w:val="0"/>
                <w:color w:val="auto"/>
                <w:spacing w:val="0"/>
                <w:sz w:val="24"/>
                <w:szCs w:val="24"/>
                <w:highlight w:val="none"/>
                <w:shd w:val="clear" w:fill="FFFFFF"/>
                <w:lang w:eastAsia="zh-CN"/>
              </w:rPr>
              <w:t>，与架空线路相连。</w:t>
            </w:r>
          </w:p>
          <w:p w14:paraId="3BD2D116">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ind w:left="0" w:leftChars="0" w:firstLine="482" w:firstLineChars="200"/>
              <w:jc w:val="both"/>
              <w:textAlignment w:val="auto"/>
              <w:rPr>
                <w:rFonts w:hint="eastAsia" w:cs="Times New Roman"/>
                <w:b/>
                <w:bCs/>
                <w:color w:val="auto"/>
                <w:sz w:val="24"/>
                <w:highlight w:val="none"/>
                <w:lang w:val="en-US" w:eastAsia="zh-CN"/>
              </w:rPr>
            </w:pPr>
            <w:r>
              <w:rPr>
                <w:rFonts w:hint="default" w:ascii="Times New Roman" w:hAnsi="Times New Roman" w:eastAsia="宋体" w:cs="Times New Roman"/>
                <w:b/>
                <w:bCs/>
                <w:color w:val="auto"/>
                <w:kern w:val="2"/>
                <w:sz w:val="24"/>
                <w:szCs w:val="24"/>
                <w:highlight w:val="none"/>
                <w:lang w:val="en-US" w:eastAsia="zh-CN" w:bidi="ar-SA"/>
              </w:rPr>
              <w:t>（</w:t>
            </w:r>
            <w:r>
              <w:rPr>
                <w:rFonts w:hint="eastAsia" w:cs="Times New Roman"/>
                <w:b/>
                <w:bCs/>
                <w:color w:val="auto"/>
                <w:kern w:val="2"/>
                <w:sz w:val="24"/>
                <w:szCs w:val="24"/>
                <w:highlight w:val="none"/>
                <w:lang w:val="en-US" w:eastAsia="zh-CN" w:bidi="ar-SA"/>
              </w:rPr>
              <w:t>2</w:t>
            </w:r>
            <w:r>
              <w:rPr>
                <w:rFonts w:hint="default" w:ascii="Times New Roman" w:hAnsi="Times New Roman" w:eastAsia="宋体" w:cs="Times New Roman"/>
                <w:b/>
                <w:bCs/>
                <w:color w:val="auto"/>
                <w:kern w:val="2"/>
                <w:sz w:val="24"/>
                <w:szCs w:val="24"/>
                <w:highlight w:val="none"/>
                <w:lang w:val="en-US" w:eastAsia="zh-CN" w:bidi="ar-SA"/>
              </w:rPr>
              <w:t>）</w:t>
            </w:r>
            <w:r>
              <w:rPr>
                <w:rFonts w:hint="eastAsia" w:cs="Times New Roman"/>
                <w:b/>
                <w:bCs/>
                <w:color w:val="auto"/>
                <w:sz w:val="24"/>
                <w:highlight w:val="none"/>
                <w:lang w:val="en-US" w:eastAsia="zh-CN"/>
              </w:rPr>
              <w:t>杆塔组立及跳线施工</w:t>
            </w:r>
          </w:p>
          <w:p w14:paraId="09ECBAFF">
            <w:pPr>
              <w:spacing w:line="360" w:lineRule="auto"/>
              <w:ind w:firstLine="480" w:firstLineChars="200"/>
              <w:rPr>
                <w:color w:val="auto"/>
                <w:sz w:val="24"/>
                <w:highlight w:val="none"/>
              </w:rPr>
            </w:pPr>
            <w:r>
              <w:rPr>
                <w:color w:val="auto"/>
                <w:sz w:val="24"/>
                <w:highlight w:val="none"/>
              </w:rPr>
              <w:t>施工主要分为杆塔基础、杆塔组立和导线架设几个步骤。</w:t>
            </w:r>
          </w:p>
          <w:p w14:paraId="2769F99C">
            <w:pPr>
              <w:spacing w:line="0" w:lineRule="atLeast"/>
              <w:jc w:val="center"/>
              <w:rPr>
                <w:color w:val="auto"/>
                <w:highlight w:val="none"/>
              </w:rPr>
            </w:pPr>
            <w:r>
              <w:rPr>
                <w:color w:val="auto"/>
                <w:highlight w:val="none"/>
              </w:rPr>
              <w:drawing>
                <wp:inline distT="0" distB="0" distL="114300" distR="114300">
                  <wp:extent cx="4932680" cy="3959860"/>
                  <wp:effectExtent l="0" t="0" r="7620" b="2540"/>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14"/>
                          <a:stretch>
                            <a:fillRect/>
                          </a:stretch>
                        </pic:blipFill>
                        <pic:spPr>
                          <a:xfrm>
                            <a:off x="0" y="0"/>
                            <a:ext cx="4932680" cy="3959860"/>
                          </a:xfrm>
                          <a:prstGeom prst="rect">
                            <a:avLst/>
                          </a:prstGeom>
                          <a:noFill/>
                          <a:ln>
                            <a:noFill/>
                          </a:ln>
                        </pic:spPr>
                      </pic:pic>
                    </a:graphicData>
                  </a:graphic>
                </wp:inline>
              </w:drawing>
            </w:r>
          </w:p>
          <w:p w14:paraId="5221F23F">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center"/>
              <w:textAlignment w:val="auto"/>
              <w:rPr>
                <w:b/>
                <w:bCs/>
                <w:color w:val="auto"/>
                <w:sz w:val="24"/>
                <w:highlight w:val="none"/>
              </w:rPr>
            </w:pPr>
            <w:r>
              <w:rPr>
                <w:rFonts w:hint="eastAsia"/>
                <w:b/>
                <w:bCs/>
                <w:color w:val="auto"/>
                <w:sz w:val="24"/>
                <w:highlight w:val="none"/>
                <w:lang w:val="en-US" w:eastAsia="zh-CN"/>
              </w:rPr>
              <w:t xml:space="preserve">  </w:t>
            </w:r>
            <w:r>
              <w:rPr>
                <w:b/>
                <w:bCs/>
                <w:color w:val="auto"/>
                <w:sz w:val="24"/>
                <w:highlight w:val="none"/>
              </w:rPr>
              <w:t>线路施工工序流程图</w:t>
            </w:r>
          </w:p>
          <w:p w14:paraId="7065C36B">
            <w:pPr>
              <w:spacing w:line="360" w:lineRule="auto"/>
              <w:ind w:firstLine="480" w:firstLineChars="200"/>
              <w:rPr>
                <w:color w:val="auto"/>
                <w:sz w:val="24"/>
                <w:highlight w:val="none"/>
              </w:rPr>
            </w:pPr>
            <w:r>
              <w:rPr>
                <w:color w:val="auto"/>
                <w:sz w:val="24"/>
                <w:highlight w:val="none"/>
              </w:rPr>
              <w:t>（1）基础施工</w:t>
            </w:r>
          </w:p>
          <w:p w14:paraId="6C359B89">
            <w:pPr>
              <w:spacing w:line="360" w:lineRule="auto"/>
              <w:ind w:firstLine="480" w:firstLineChars="200"/>
              <w:rPr>
                <w:color w:val="auto"/>
                <w:sz w:val="24"/>
                <w:highlight w:val="none"/>
              </w:rPr>
            </w:pPr>
            <w:r>
              <w:rPr>
                <w:color w:val="auto"/>
                <w:sz w:val="24"/>
                <w:highlight w:val="none"/>
              </w:rPr>
              <w:t>本项目采用</w:t>
            </w:r>
            <w:r>
              <w:rPr>
                <w:rFonts w:hint="eastAsia"/>
                <w:color w:val="auto"/>
                <w:sz w:val="24"/>
                <w:highlight w:val="none"/>
                <w:lang w:val="en-US" w:eastAsia="zh-CN"/>
              </w:rPr>
              <w:t>孔桩基础</w:t>
            </w:r>
            <w:r>
              <w:rPr>
                <w:color w:val="auto"/>
                <w:sz w:val="24"/>
                <w:highlight w:val="none"/>
              </w:rPr>
              <w:t>，土石方开挖采用机械与人工开挖结合方式。</w:t>
            </w:r>
            <w:r>
              <w:rPr>
                <w:rFonts w:hint="eastAsia"/>
                <w:color w:val="auto"/>
                <w:sz w:val="24"/>
                <w:highlight w:val="none"/>
              </w:rPr>
              <w:t>采用钢筋混凝土护壁的配套工艺，护壁在绑筋、支模完成后应立即浇筑混凝土，护壁混凝土采用人工浇筑，捣固钎或振捣器捣实，护壁浇筑完成后进行桩身浇筑，桩身浇筑采用商品混凝土直接浇筑方式。</w:t>
            </w:r>
          </w:p>
          <w:p w14:paraId="2C7C1553">
            <w:pPr>
              <w:spacing w:line="360" w:lineRule="auto"/>
              <w:ind w:firstLine="480" w:firstLineChars="200"/>
              <w:rPr>
                <w:color w:val="auto"/>
                <w:sz w:val="24"/>
                <w:highlight w:val="none"/>
              </w:rPr>
            </w:pPr>
            <w:r>
              <w:rPr>
                <w:color w:val="auto"/>
                <w:sz w:val="24"/>
                <w:highlight w:val="none"/>
              </w:rPr>
              <w:t>（2）</w:t>
            </w:r>
            <w:r>
              <w:rPr>
                <w:rFonts w:hint="eastAsia"/>
                <w:color w:val="auto"/>
                <w:sz w:val="24"/>
                <w:highlight w:val="none"/>
                <w:lang w:val="en-US" w:eastAsia="zh-CN"/>
              </w:rPr>
              <w:t>杆塔</w:t>
            </w:r>
            <w:r>
              <w:rPr>
                <w:color w:val="auto"/>
                <w:sz w:val="24"/>
                <w:highlight w:val="none"/>
              </w:rPr>
              <w:t>组立施工</w:t>
            </w:r>
          </w:p>
          <w:p w14:paraId="385DB8B8">
            <w:pPr>
              <w:spacing w:line="360" w:lineRule="auto"/>
              <w:ind w:firstLine="480" w:firstLineChars="200"/>
              <w:rPr>
                <w:color w:val="auto"/>
                <w:sz w:val="24"/>
                <w:highlight w:val="none"/>
              </w:rPr>
            </w:pPr>
            <w:r>
              <w:rPr>
                <w:rFonts w:hint="eastAsia"/>
                <w:color w:val="auto"/>
                <w:sz w:val="24"/>
                <w:highlight w:val="none"/>
                <w:lang w:val="en-US" w:eastAsia="zh-CN"/>
              </w:rPr>
              <w:t>杆塔</w:t>
            </w:r>
            <w:r>
              <w:rPr>
                <w:color w:val="auto"/>
                <w:sz w:val="24"/>
                <w:highlight w:val="none"/>
              </w:rPr>
              <w:t>组立采用分片分段吊装的方法，按吊端在地面分片组装，吊至塔上合拢，地线支架与最上段塔身同时吊装。吊装或大件吊装时，吊点位置要有可靠的保护措施，防止塔材出现硬弯变形。</w:t>
            </w:r>
          </w:p>
          <w:p w14:paraId="79914BCE">
            <w:pPr>
              <w:spacing w:line="360" w:lineRule="auto"/>
              <w:ind w:firstLine="480" w:firstLineChars="200"/>
              <w:rPr>
                <w:color w:val="auto"/>
                <w:sz w:val="24"/>
                <w:highlight w:val="none"/>
              </w:rPr>
            </w:pPr>
            <w:r>
              <w:rPr>
                <w:color w:val="auto"/>
                <w:sz w:val="24"/>
                <w:highlight w:val="none"/>
              </w:rPr>
              <w:t>（3）</w:t>
            </w:r>
            <w:r>
              <w:rPr>
                <w:rFonts w:hint="eastAsia"/>
                <w:color w:val="auto"/>
                <w:sz w:val="24"/>
                <w:highlight w:val="none"/>
                <w:lang w:val="en-US" w:eastAsia="zh-CN"/>
              </w:rPr>
              <w:t>跳线</w:t>
            </w:r>
            <w:r>
              <w:rPr>
                <w:color w:val="auto"/>
                <w:sz w:val="24"/>
                <w:highlight w:val="none"/>
              </w:rPr>
              <w:t>施工</w:t>
            </w:r>
          </w:p>
          <w:p w14:paraId="31C96DB2">
            <w:pPr>
              <w:spacing w:line="360" w:lineRule="auto"/>
              <w:ind w:firstLine="480" w:firstLineChars="200"/>
              <w:jc w:val="left"/>
              <w:rPr>
                <w:color w:val="auto"/>
                <w:sz w:val="24"/>
                <w:highlight w:val="none"/>
              </w:rPr>
            </w:pPr>
            <w:r>
              <w:rPr>
                <w:color w:val="auto"/>
                <w:sz w:val="24"/>
                <w:highlight w:val="none"/>
              </w:rPr>
              <w:t>本项目采用</w:t>
            </w:r>
            <w:r>
              <w:rPr>
                <w:rFonts w:hint="eastAsia"/>
                <w:color w:val="auto"/>
                <w:sz w:val="24"/>
                <w:highlight w:val="none"/>
                <w:lang w:val="en-US" w:eastAsia="zh-CN"/>
              </w:rPr>
              <w:t>人工</w:t>
            </w:r>
            <w:r>
              <w:rPr>
                <w:color w:val="auto"/>
                <w:sz w:val="24"/>
                <w:highlight w:val="none"/>
              </w:rPr>
              <w:t>放线工艺</w:t>
            </w:r>
            <w:r>
              <w:rPr>
                <w:rFonts w:hint="eastAsia"/>
                <w:color w:val="auto"/>
                <w:sz w:val="24"/>
                <w:highlight w:val="none"/>
                <w:lang w:eastAsia="zh-CN"/>
              </w:rPr>
              <w:t>，</w:t>
            </w:r>
            <w:r>
              <w:rPr>
                <w:rFonts w:hint="eastAsia"/>
                <w:color w:val="auto"/>
                <w:sz w:val="24"/>
                <w:highlight w:val="none"/>
                <w:lang w:val="en-US" w:eastAsia="zh-CN"/>
              </w:rPr>
              <w:t>人工</w:t>
            </w:r>
            <w:r>
              <w:rPr>
                <w:color w:val="auto"/>
                <w:sz w:val="24"/>
                <w:highlight w:val="none"/>
              </w:rPr>
              <w:t>展放牵引绳</w:t>
            </w:r>
            <w:r>
              <w:rPr>
                <w:b w:val="0"/>
                <w:bCs w:val="0"/>
                <w:color w:val="auto"/>
                <w:sz w:val="24"/>
                <w:highlight w:val="none"/>
              </w:rPr>
              <w:t>，牵引绳</w:t>
            </w:r>
            <w:r>
              <w:rPr>
                <w:rFonts w:hint="default" w:ascii="Segoe UI" w:hAnsi="Segoe UI" w:eastAsia="Segoe UI" w:cs="Segoe UI"/>
                <w:b w:val="0"/>
                <w:bCs w:val="0"/>
                <w:i w:val="0"/>
                <w:iCs w:val="0"/>
                <w:caps w:val="0"/>
                <w:color w:val="auto"/>
                <w:spacing w:val="0"/>
                <w:sz w:val="24"/>
                <w:szCs w:val="24"/>
                <w:highlight w:val="none"/>
                <w:shd w:val="clear" w:fill="FFFFFF"/>
              </w:rPr>
              <w:t>导引</w:t>
            </w:r>
            <w:r>
              <w:rPr>
                <w:b w:val="0"/>
                <w:bCs w:val="0"/>
                <w:color w:val="auto"/>
                <w:sz w:val="24"/>
                <w:highlight w:val="none"/>
              </w:rPr>
              <w:t>导线</w:t>
            </w:r>
            <w:r>
              <w:rPr>
                <w:rFonts w:hint="eastAsia"/>
                <w:b w:val="0"/>
                <w:bCs w:val="0"/>
                <w:color w:val="auto"/>
                <w:sz w:val="24"/>
                <w:highlight w:val="none"/>
              </w:rPr>
              <w:t>展放</w:t>
            </w:r>
            <w:r>
              <w:rPr>
                <w:color w:val="auto"/>
                <w:sz w:val="24"/>
                <w:highlight w:val="none"/>
              </w:rPr>
              <w:t>。</w:t>
            </w:r>
          </w:p>
          <w:p w14:paraId="45A46829">
            <w:pPr>
              <w:adjustRightInd w:val="0"/>
              <w:snapToGrid w:val="0"/>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2. 建设周期</w:t>
            </w:r>
          </w:p>
          <w:p w14:paraId="54916586">
            <w:pPr>
              <w:spacing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本项目计划于202</w:t>
            </w:r>
            <w:r>
              <w:rPr>
                <w:rFonts w:hint="eastAsia" w:cs="Times New Roman"/>
                <w:color w:val="auto"/>
                <w:kern w:val="0"/>
                <w:sz w:val="24"/>
                <w:highlight w:val="none"/>
                <w:lang w:val="en-US" w:eastAsia="zh-CN"/>
              </w:rPr>
              <w:t>7</w:t>
            </w:r>
            <w:r>
              <w:rPr>
                <w:rFonts w:hint="default" w:ascii="Times New Roman" w:hAnsi="Times New Roman" w:cs="Times New Roman"/>
                <w:color w:val="auto"/>
                <w:kern w:val="0"/>
                <w:sz w:val="24"/>
                <w:highlight w:val="none"/>
              </w:rPr>
              <w:t>年</w:t>
            </w:r>
            <w:r>
              <w:rPr>
                <w:rFonts w:hint="eastAsia" w:cs="Times New Roman"/>
                <w:color w:val="auto"/>
                <w:kern w:val="0"/>
                <w:sz w:val="24"/>
                <w:highlight w:val="none"/>
                <w:lang w:val="en-US" w:eastAsia="zh-CN"/>
              </w:rPr>
              <w:t>3</w:t>
            </w:r>
            <w:r>
              <w:rPr>
                <w:rFonts w:hint="default" w:ascii="Times New Roman" w:hAnsi="Times New Roman" w:cs="Times New Roman"/>
                <w:color w:val="auto"/>
                <w:kern w:val="0"/>
                <w:sz w:val="24"/>
                <w:highlight w:val="none"/>
              </w:rPr>
              <w:t>月开始建设，至202</w:t>
            </w:r>
            <w:r>
              <w:rPr>
                <w:rFonts w:hint="default" w:ascii="Times New Roman" w:hAnsi="Times New Roman" w:cs="Times New Roman"/>
                <w:color w:val="auto"/>
                <w:kern w:val="0"/>
                <w:sz w:val="24"/>
                <w:highlight w:val="none"/>
                <w:lang w:val="en-US" w:eastAsia="zh-CN"/>
              </w:rPr>
              <w:t>7</w:t>
            </w:r>
            <w:r>
              <w:rPr>
                <w:rFonts w:hint="default" w:ascii="Times New Roman" w:hAnsi="Times New Roman" w:cs="Times New Roman"/>
                <w:color w:val="auto"/>
                <w:kern w:val="0"/>
                <w:sz w:val="24"/>
                <w:highlight w:val="none"/>
              </w:rPr>
              <w:t>年</w:t>
            </w:r>
            <w:r>
              <w:rPr>
                <w:rFonts w:hint="eastAsia" w:cs="Times New Roman"/>
                <w:color w:val="auto"/>
                <w:kern w:val="0"/>
                <w:sz w:val="24"/>
                <w:highlight w:val="none"/>
                <w:lang w:val="en-US" w:eastAsia="zh-CN"/>
              </w:rPr>
              <w:t>6</w:t>
            </w:r>
            <w:r>
              <w:rPr>
                <w:rFonts w:hint="default" w:ascii="Times New Roman" w:hAnsi="Times New Roman" w:cs="Times New Roman"/>
                <w:color w:val="auto"/>
                <w:kern w:val="0"/>
                <w:sz w:val="24"/>
                <w:highlight w:val="none"/>
              </w:rPr>
              <w:t>月建成，项目建设周期约</w:t>
            </w:r>
            <w:r>
              <w:rPr>
                <w:rFonts w:hint="eastAsia" w:cs="Times New Roman"/>
                <w:color w:val="auto"/>
                <w:kern w:val="0"/>
                <w:sz w:val="24"/>
                <w:highlight w:val="none"/>
                <w:lang w:val="en-US" w:eastAsia="zh-CN"/>
              </w:rPr>
              <w:t>4</w:t>
            </w:r>
            <w:r>
              <w:rPr>
                <w:rFonts w:hint="default" w:ascii="Times New Roman" w:hAnsi="Times New Roman" w:cs="Times New Roman"/>
                <w:color w:val="auto"/>
                <w:kern w:val="0"/>
                <w:sz w:val="24"/>
                <w:highlight w:val="none"/>
              </w:rPr>
              <w:t>个月</w:t>
            </w:r>
            <w:r>
              <w:rPr>
                <w:rFonts w:hint="eastAsia" w:cs="Times New Roman"/>
                <w:color w:val="auto"/>
                <w:kern w:val="0"/>
                <w:sz w:val="24"/>
                <w:highlight w:val="none"/>
                <w:lang w:val="en-US" w:eastAsia="zh-CN"/>
              </w:rPr>
              <w:t>。</w:t>
            </w:r>
            <w:r>
              <w:rPr>
                <w:b w:val="0"/>
                <w:color w:val="auto"/>
                <w:kern w:val="0"/>
                <w:sz w:val="24"/>
                <w:highlight w:val="none"/>
              </w:rPr>
              <w:t>若项目未按原计划取得开工许可，则实际开工日期相应顺延。</w:t>
            </w:r>
            <w:r>
              <w:rPr>
                <w:rFonts w:hint="default" w:ascii="Times New Roman" w:hAnsi="Times New Roman" w:cs="Times New Roman"/>
                <w:color w:val="auto"/>
                <w:kern w:val="0"/>
                <w:sz w:val="24"/>
                <w:highlight w:val="none"/>
              </w:rPr>
              <w:t>本项目施工进度安排见表2-</w:t>
            </w:r>
            <w:r>
              <w:rPr>
                <w:rFonts w:hint="eastAsia" w:cs="Times New Roman"/>
                <w:color w:val="auto"/>
                <w:kern w:val="0"/>
                <w:sz w:val="24"/>
                <w:highlight w:val="none"/>
                <w:lang w:val="en-US" w:eastAsia="zh-CN"/>
              </w:rPr>
              <w:t>7</w:t>
            </w:r>
            <w:r>
              <w:rPr>
                <w:rFonts w:hint="default" w:ascii="Times New Roman" w:hAnsi="Times New Roman" w:cs="Times New Roman"/>
                <w:color w:val="auto"/>
                <w:kern w:val="0"/>
                <w:sz w:val="24"/>
                <w:highlight w:val="none"/>
              </w:rPr>
              <w:t>。</w:t>
            </w:r>
          </w:p>
          <w:p w14:paraId="0B384381">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color w:val="auto"/>
                <w:kern w:val="0"/>
                <w:sz w:val="24"/>
                <w:highlight w:val="none"/>
              </w:rPr>
            </w:pPr>
          </w:p>
          <w:p w14:paraId="6972AB33">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cs="Times New Roman"/>
                <w:color w:val="auto"/>
                <w:kern w:val="0"/>
                <w:sz w:val="24"/>
                <w:highlight w:val="none"/>
              </w:rPr>
            </w:pPr>
          </w:p>
          <w:p w14:paraId="7B84FB05">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 xml:space="preserve">  本项目各阶段施工进度一览表</w:t>
            </w: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7"/>
              <w:gridCol w:w="2551"/>
              <w:gridCol w:w="1130"/>
              <w:gridCol w:w="1156"/>
              <w:gridCol w:w="1156"/>
              <w:gridCol w:w="1175"/>
            </w:tblGrid>
            <w:tr w14:paraId="20A3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exact"/>
                <w:tblHeader/>
                <w:jc w:val="center"/>
              </w:trPr>
              <w:tc>
                <w:tcPr>
                  <w:tcW w:w="2351" w:type="pct"/>
                  <w:gridSpan w:val="2"/>
                  <w:vMerge w:val="restart"/>
                  <w:vAlign w:val="center"/>
                </w:tcPr>
                <w:p w14:paraId="379EEA73">
                  <w:pPr>
                    <w:jc w:val="center"/>
                    <w:rPr>
                      <w:rFonts w:hint="default" w:ascii="Times New Roman" w:hAnsi="Times New Roman" w:eastAsia="Times New Roman" w:cs="Times New Roman"/>
                      <w:b/>
                      <w:color w:val="auto"/>
                      <w:szCs w:val="21"/>
                      <w:highlight w:val="none"/>
                    </w:rPr>
                  </w:pPr>
                  <w:r>
                    <w:rPr>
                      <w:rFonts w:hint="default" w:ascii="Times New Roman" w:hAnsi="Times New Roman" w:cs="Times New Roman"/>
                      <w:b/>
                      <w:color w:val="auto"/>
                      <w:szCs w:val="21"/>
                      <w:highlight w:val="none"/>
                    </w:rPr>
                    <w:t>施工阶段</w:t>
                  </w:r>
                </w:p>
              </w:tc>
              <w:tc>
                <w:tcPr>
                  <w:tcW w:w="2648" w:type="pct"/>
                  <w:gridSpan w:val="4"/>
                  <w:vAlign w:val="center"/>
                </w:tcPr>
                <w:p w14:paraId="71D633CB">
                  <w:pPr>
                    <w:jc w:val="center"/>
                    <w:rPr>
                      <w:rFonts w:hint="default" w:ascii="Times New Roman" w:hAnsi="Times New Roman" w:cs="Times New Roman"/>
                      <w:b/>
                      <w:color w:val="auto"/>
                      <w:szCs w:val="21"/>
                      <w:highlight w:val="none"/>
                      <w:lang w:val="en-US" w:eastAsia="zh-CN"/>
                    </w:rPr>
                  </w:pPr>
                  <w:r>
                    <w:rPr>
                      <w:rFonts w:hint="default" w:ascii="Times New Roman" w:hAnsi="Times New Roman" w:cs="Times New Roman"/>
                      <w:b/>
                      <w:color w:val="auto"/>
                      <w:szCs w:val="21"/>
                      <w:highlight w:val="none"/>
                      <w:lang w:val="en-US" w:eastAsia="zh-CN"/>
                    </w:rPr>
                    <w:t>2027年</w:t>
                  </w:r>
                </w:p>
              </w:tc>
            </w:tr>
            <w:tr w14:paraId="4EBF7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blHeader/>
                <w:jc w:val="center"/>
              </w:trPr>
              <w:tc>
                <w:tcPr>
                  <w:tcW w:w="2351" w:type="pct"/>
                  <w:gridSpan w:val="2"/>
                  <w:vMerge w:val="continue"/>
                  <w:shd w:val="clear" w:color="auto" w:fill="auto"/>
                  <w:vAlign w:val="center"/>
                </w:tcPr>
                <w:p w14:paraId="48A5C3C0">
                  <w:pPr>
                    <w:jc w:val="center"/>
                    <w:rPr>
                      <w:rFonts w:hint="default" w:ascii="Times New Roman" w:hAnsi="Times New Roman" w:eastAsia="Times New Roman" w:cs="Times New Roman"/>
                      <w:color w:val="auto"/>
                      <w:szCs w:val="21"/>
                      <w:highlight w:val="none"/>
                    </w:rPr>
                  </w:pPr>
                </w:p>
              </w:tc>
              <w:tc>
                <w:tcPr>
                  <w:tcW w:w="648" w:type="pct"/>
                  <w:shd w:val="clear" w:color="auto" w:fill="auto"/>
                  <w:vAlign w:val="center"/>
                </w:tcPr>
                <w:p w14:paraId="1A5385F4">
                  <w:pPr>
                    <w:jc w:val="center"/>
                    <w:rPr>
                      <w:rFonts w:hint="default" w:ascii="Times New Roman" w:hAnsi="Times New Roman" w:eastAsia="等线" w:cs="Times New Roman"/>
                      <w:b/>
                      <w:color w:val="auto"/>
                      <w:kern w:val="2"/>
                      <w:sz w:val="21"/>
                      <w:szCs w:val="21"/>
                      <w:highlight w:val="none"/>
                      <w:lang w:val="en-US" w:eastAsia="zh-CN" w:bidi="ar-SA"/>
                    </w:rPr>
                  </w:pPr>
                  <w:r>
                    <w:rPr>
                      <w:rFonts w:hint="default" w:ascii="Times New Roman" w:hAnsi="Times New Roman" w:eastAsia="等线" w:cs="Times New Roman"/>
                      <w:b/>
                      <w:color w:val="auto"/>
                      <w:szCs w:val="21"/>
                      <w:highlight w:val="none"/>
                      <w:lang w:val="en-US" w:eastAsia="zh-CN"/>
                    </w:rPr>
                    <w:t>3</w:t>
                  </w:r>
                </w:p>
              </w:tc>
              <w:tc>
                <w:tcPr>
                  <w:tcW w:w="663" w:type="pct"/>
                  <w:shd w:val="clear" w:color="auto" w:fill="auto"/>
                  <w:vAlign w:val="center"/>
                </w:tcPr>
                <w:p w14:paraId="51C1B715">
                  <w:pPr>
                    <w:jc w:val="center"/>
                    <w:rPr>
                      <w:rFonts w:hint="default" w:ascii="Times New Roman" w:hAnsi="Times New Roman" w:eastAsia="等线" w:cs="Times New Roman"/>
                      <w:b/>
                      <w:color w:val="auto"/>
                      <w:kern w:val="2"/>
                      <w:sz w:val="21"/>
                      <w:szCs w:val="21"/>
                      <w:highlight w:val="none"/>
                      <w:lang w:val="en-US" w:eastAsia="zh-CN" w:bidi="ar-SA"/>
                    </w:rPr>
                  </w:pPr>
                  <w:r>
                    <w:rPr>
                      <w:rFonts w:hint="default" w:ascii="Times New Roman" w:hAnsi="Times New Roman" w:eastAsia="等线" w:cs="Times New Roman"/>
                      <w:b/>
                      <w:color w:val="auto"/>
                      <w:szCs w:val="21"/>
                      <w:highlight w:val="none"/>
                      <w:lang w:val="en-US" w:eastAsia="zh-CN"/>
                    </w:rPr>
                    <w:t>4</w:t>
                  </w:r>
                </w:p>
              </w:tc>
              <w:tc>
                <w:tcPr>
                  <w:tcW w:w="663" w:type="pct"/>
                  <w:shd w:val="clear" w:color="auto" w:fill="auto"/>
                  <w:vAlign w:val="center"/>
                </w:tcPr>
                <w:p w14:paraId="11469605">
                  <w:pPr>
                    <w:jc w:val="center"/>
                    <w:rPr>
                      <w:rFonts w:hint="default" w:ascii="Times New Roman" w:hAnsi="Times New Roman" w:eastAsia="等线" w:cs="Times New Roman"/>
                      <w:b/>
                      <w:color w:val="auto"/>
                      <w:kern w:val="2"/>
                      <w:sz w:val="21"/>
                      <w:szCs w:val="21"/>
                      <w:highlight w:val="none"/>
                      <w:lang w:val="en-US" w:eastAsia="zh-CN" w:bidi="ar-SA"/>
                    </w:rPr>
                  </w:pPr>
                  <w:r>
                    <w:rPr>
                      <w:rFonts w:hint="default" w:ascii="Times New Roman" w:hAnsi="Times New Roman" w:eastAsia="等线" w:cs="Times New Roman"/>
                      <w:b/>
                      <w:color w:val="auto"/>
                      <w:szCs w:val="21"/>
                      <w:highlight w:val="none"/>
                      <w:lang w:val="en-US" w:eastAsia="zh-CN"/>
                    </w:rPr>
                    <w:t>5</w:t>
                  </w:r>
                </w:p>
              </w:tc>
              <w:tc>
                <w:tcPr>
                  <w:tcW w:w="672" w:type="pct"/>
                  <w:shd w:val="clear" w:color="auto" w:fill="auto"/>
                  <w:vAlign w:val="center"/>
                </w:tcPr>
                <w:p w14:paraId="5BF5F004">
                  <w:pPr>
                    <w:jc w:val="center"/>
                    <w:rPr>
                      <w:rFonts w:hint="default" w:ascii="Times New Roman" w:hAnsi="Times New Roman" w:eastAsia="等线" w:cs="Times New Roman"/>
                      <w:b/>
                      <w:color w:val="auto"/>
                      <w:kern w:val="2"/>
                      <w:sz w:val="21"/>
                      <w:szCs w:val="21"/>
                      <w:highlight w:val="none"/>
                      <w:lang w:val="en-US" w:eastAsia="zh-CN" w:bidi="ar-SA"/>
                    </w:rPr>
                  </w:pPr>
                  <w:r>
                    <w:rPr>
                      <w:rFonts w:hint="default" w:ascii="Times New Roman" w:hAnsi="Times New Roman" w:eastAsia="等线" w:cs="Times New Roman"/>
                      <w:b/>
                      <w:color w:val="auto"/>
                      <w:szCs w:val="21"/>
                      <w:highlight w:val="none"/>
                      <w:lang w:val="en-US" w:eastAsia="zh-CN"/>
                    </w:rPr>
                    <w:t>6</w:t>
                  </w:r>
                </w:p>
              </w:tc>
            </w:tr>
            <w:tr w14:paraId="196E6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8" w:type="pct"/>
                  <w:vMerge w:val="restart"/>
                  <w:shd w:val="clear" w:color="auto" w:fill="auto"/>
                  <w:vAlign w:val="center"/>
                </w:tcPr>
                <w:p w14:paraId="30D6B05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输电线路</w:t>
                  </w:r>
                </w:p>
              </w:tc>
              <w:tc>
                <w:tcPr>
                  <w:tcW w:w="1463" w:type="pct"/>
                  <w:shd w:val="clear" w:color="auto" w:fill="auto"/>
                  <w:vAlign w:val="center"/>
                </w:tcPr>
                <w:p w14:paraId="37372EE7">
                  <w:pPr>
                    <w:adjustRightInd w:val="0"/>
                    <w:snapToGrid w:val="0"/>
                    <w:jc w:val="center"/>
                    <w:rPr>
                      <w:rFonts w:hint="default" w:ascii="Times New Roman" w:hAnsi="Times New Roman" w:eastAsia="Times New Roman" w:cs="Times New Roman"/>
                      <w:color w:val="auto"/>
                      <w:szCs w:val="21"/>
                      <w:highlight w:val="none"/>
                    </w:rPr>
                  </w:pPr>
                  <w:r>
                    <w:rPr>
                      <w:rFonts w:hint="eastAsia" w:cs="Times New Roman"/>
                      <w:color w:val="auto"/>
                      <w:kern w:val="0"/>
                      <w:szCs w:val="21"/>
                      <w:highlight w:val="none"/>
                      <w:lang w:val="en-US" w:eastAsia="zh-CN"/>
                    </w:rPr>
                    <w:t>基础</w:t>
                  </w:r>
                  <w:r>
                    <w:rPr>
                      <w:rFonts w:hint="default" w:ascii="Times New Roman" w:hAnsi="Times New Roman" w:cs="Times New Roman"/>
                      <w:color w:val="auto"/>
                      <w:kern w:val="0"/>
                      <w:szCs w:val="21"/>
                      <w:highlight w:val="none"/>
                    </w:rPr>
                    <w:t>施工</w:t>
                  </w:r>
                </w:p>
              </w:tc>
              <w:tc>
                <w:tcPr>
                  <w:tcW w:w="648" w:type="pct"/>
                  <w:shd w:val="clear" w:color="auto" w:fill="7F7F7F"/>
                  <w:vAlign w:val="center"/>
                </w:tcPr>
                <w:p w14:paraId="5B0F2A16">
                  <w:pPr>
                    <w:adjustRightInd w:val="0"/>
                    <w:snapToGrid w:val="0"/>
                    <w:jc w:val="center"/>
                    <w:rPr>
                      <w:rFonts w:hint="default" w:ascii="Times New Roman" w:hAnsi="Times New Roman" w:eastAsia="Times New Roman" w:cs="Times New Roman"/>
                      <w:color w:val="auto"/>
                      <w:kern w:val="2"/>
                      <w:sz w:val="21"/>
                      <w:szCs w:val="21"/>
                      <w:highlight w:val="none"/>
                      <w:lang w:val="en-US" w:eastAsia="zh-CN" w:bidi="ar-SA"/>
                    </w:rPr>
                  </w:pPr>
                </w:p>
              </w:tc>
              <w:tc>
                <w:tcPr>
                  <w:tcW w:w="663" w:type="pct"/>
                  <w:shd w:val="clear" w:color="auto" w:fill="auto"/>
                  <w:vAlign w:val="center"/>
                </w:tcPr>
                <w:p w14:paraId="6FCE637C">
                  <w:pPr>
                    <w:adjustRightInd w:val="0"/>
                    <w:snapToGrid w:val="0"/>
                    <w:jc w:val="center"/>
                    <w:rPr>
                      <w:rFonts w:hint="default" w:ascii="Times New Roman" w:hAnsi="Times New Roman" w:eastAsia="Times New Roman" w:cs="Times New Roman"/>
                      <w:color w:val="auto"/>
                      <w:kern w:val="2"/>
                      <w:sz w:val="21"/>
                      <w:szCs w:val="21"/>
                      <w:highlight w:val="none"/>
                      <w:lang w:val="en-US" w:eastAsia="zh-CN" w:bidi="ar-SA"/>
                    </w:rPr>
                  </w:pPr>
                </w:p>
              </w:tc>
              <w:tc>
                <w:tcPr>
                  <w:tcW w:w="663" w:type="pct"/>
                  <w:shd w:val="clear" w:color="auto" w:fill="auto"/>
                  <w:vAlign w:val="center"/>
                </w:tcPr>
                <w:p w14:paraId="60738C9E">
                  <w:pPr>
                    <w:adjustRightInd w:val="0"/>
                    <w:snapToGrid w:val="0"/>
                    <w:jc w:val="center"/>
                    <w:rPr>
                      <w:rFonts w:hint="default" w:ascii="Times New Roman" w:hAnsi="Times New Roman" w:eastAsia="Times New Roman" w:cs="Times New Roman"/>
                      <w:color w:val="auto"/>
                      <w:kern w:val="2"/>
                      <w:sz w:val="21"/>
                      <w:szCs w:val="21"/>
                      <w:highlight w:val="none"/>
                      <w:lang w:val="en-US" w:eastAsia="zh-CN" w:bidi="ar-SA"/>
                    </w:rPr>
                  </w:pPr>
                </w:p>
              </w:tc>
              <w:tc>
                <w:tcPr>
                  <w:tcW w:w="672" w:type="pct"/>
                  <w:shd w:val="clear" w:color="auto" w:fill="auto"/>
                  <w:vAlign w:val="center"/>
                </w:tcPr>
                <w:p w14:paraId="5BCB6F8D">
                  <w:pPr>
                    <w:adjustRightInd w:val="0"/>
                    <w:snapToGrid w:val="0"/>
                    <w:jc w:val="center"/>
                    <w:rPr>
                      <w:rFonts w:hint="default" w:ascii="Times New Roman" w:hAnsi="Times New Roman" w:eastAsia="Times New Roman" w:cs="Times New Roman"/>
                      <w:color w:val="auto"/>
                      <w:kern w:val="2"/>
                      <w:sz w:val="21"/>
                      <w:szCs w:val="21"/>
                      <w:highlight w:val="none"/>
                      <w:lang w:val="en-US" w:eastAsia="zh-CN" w:bidi="ar-SA"/>
                    </w:rPr>
                  </w:pPr>
                </w:p>
              </w:tc>
            </w:tr>
            <w:tr w14:paraId="1E31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8" w:type="pct"/>
                  <w:vMerge w:val="continue"/>
                  <w:shd w:val="clear" w:color="auto" w:fill="auto"/>
                  <w:vAlign w:val="center"/>
                </w:tcPr>
                <w:p w14:paraId="3B914FF5">
                  <w:pPr>
                    <w:jc w:val="center"/>
                    <w:rPr>
                      <w:rFonts w:hint="default" w:ascii="Times New Roman" w:hAnsi="Times New Roman" w:cs="Times New Roman"/>
                      <w:color w:val="auto"/>
                      <w:szCs w:val="21"/>
                      <w:highlight w:val="none"/>
                    </w:rPr>
                  </w:pPr>
                </w:p>
              </w:tc>
              <w:tc>
                <w:tcPr>
                  <w:tcW w:w="1463" w:type="pct"/>
                  <w:shd w:val="clear" w:color="auto" w:fill="auto"/>
                  <w:vAlign w:val="center"/>
                </w:tcPr>
                <w:p w14:paraId="50B54916">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eastAsia="宋体" w:cs="Times New Roman"/>
                      <w:color w:val="auto"/>
                      <w:kern w:val="0"/>
                      <w:szCs w:val="21"/>
                      <w:highlight w:val="none"/>
                      <w:lang w:val="en-US" w:eastAsia="zh-CN"/>
                    </w:rPr>
                    <w:t>电缆敷设</w:t>
                  </w:r>
                </w:p>
              </w:tc>
              <w:tc>
                <w:tcPr>
                  <w:tcW w:w="648" w:type="pct"/>
                  <w:shd w:val="clear" w:color="auto" w:fill="auto"/>
                  <w:vAlign w:val="center"/>
                </w:tcPr>
                <w:p w14:paraId="55C1BE16">
                  <w:pPr>
                    <w:adjustRightInd w:val="0"/>
                    <w:snapToGrid w:val="0"/>
                    <w:jc w:val="center"/>
                    <w:rPr>
                      <w:rFonts w:hint="default" w:ascii="Times New Roman" w:hAnsi="Times New Roman" w:eastAsia="Times New Roman" w:cs="Times New Roman"/>
                      <w:color w:val="auto"/>
                      <w:szCs w:val="21"/>
                      <w:highlight w:val="none"/>
                    </w:rPr>
                  </w:pPr>
                </w:p>
              </w:tc>
              <w:tc>
                <w:tcPr>
                  <w:tcW w:w="663" w:type="pct"/>
                  <w:shd w:val="clear" w:color="auto" w:fill="7F7F7F"/>
                  <w:vAlign w:val="center"/>
                </w:tcPr>
                <w:p w14:paraId="04A63DD1">
                  <w:pPr>
                    <w:adjustRightInd w:val="0"/>
                    <w:snapToGrid w:val="0"/>
                    <w:jc w:val="center"/>
                    <w:rPr>
                      <w:rFonts w:hint="default" w:ascii="Times New Roman" w:hAnsi="Times New Roman" w:eastAsia="Times New Roman" w:cs="Times New Roman"/>
                      <w:color w:val="auto"/>
                      <w:kern w:val="2"/>
                      <w:sz w:val="21"/>
                      <w:szCs w:val="21"/>
                      <w:highlight w:val="none"/>
                      <w:lang w:val="en-US" w:eastAsia="zh-CN" w:bidi="ar-SA"/>
                    </w:rPr>
                  </w:pPr>
                </w:p>
              </w:tc>
              <w:tc>
                <w:tcPr>
                  <w:tcW w:w="663" w:type="pct"/>
                  <w:shd w:val="clear" w:color="auto" w:fill="7F7F7F"/>
                  <w:vAlign w:val="center"/>
                </w:tcPr>
                <w:p w14:paraId="5ED15968">
                  <w:pPr>
                    <w:adjustRightInd w:val="0"/>
                    <w:snapToGrid w:val="0"/>
                    <w:jc w:val="center"/>
                    <w:rPr>
                      <w:rFonts w:hint="default" w:ascii="Times New Roman" w:hAnsi="Times New Roman" w:eastAsia="Times New Roman" w:cs="Times New Roman"/>
                      <w:color w:val="auto"/>
                      <w:kern w:val="2"/>
                      <w:sz w:val="21"/>
                      <w:szCs w:val="21"/>
                      <w:highlight w:val="none"/>
                      <w:lang w:val="en-US" w:eastAsia="zh-CN" w:bidi="ar-SA"/>
                    </w:rPr>
                  </w:pPr>
                </w:p>
              </w:tc>
              <w:tc>
                <w:tcPr>
                  <w:tcW w:w="672" w:type="pct"/>
                  <w:shd w:val="clear" w:color="auto" w:fill="auto"/>
                  <w:vAlign w:val="center"/>
                </w:tcPr>
                <w:p w14:paraId="789E3D02">
                  <w:pPr>
                    <w:tabs>
                      <w:tab w:val="left" w:pos="416"/>
                    </w:tabs>
                    <w:adjustRightInd w:val="0"/>
                    <w:snapToGrid w:val="0"/>
                    <w:jc w:val="left"/>
                    <w:rPr>
                      <w:rFonts w:hint="default" w:ascii="Times New Roman" w:hAnsi="Times New Roman" w:eastAsia="Times New Roman" w:cs="Times New Roman"/>
                      <w:color w:val="auto"/>
                      <w:kern w:val="2"/>
                      <w:sz w:val="21"/>
                      <w:szCs w:val="21"/>
                      <w:highlight w:val="none"/>
                      <w:lang w:val="en-US" w:eastAsia="zh-CN" w:bidi="ar-SA"/>
                    </w:rPr>
                  </w:pPr>
                  <w:r>
                    <w:rPr>
                      <w:rFonts w:hint="eastAsia" w:eastAsia="Times New Roman" w:cs="Times New Roman"/>
                      <w:color w:val="auto"/>
                      <w:kern w:val="2"/>
                      <w:sz w:val="21"/>
                      <w:szCs w:val="21"/>
                      <w:highlight w:val="none"/>
                      <w:lang w:val="en-US" w:eastAsia="zh-CN" w:bidi="ar-SA"/>
                    </w:rPr>
                    <w:tab/>
                  </w:r>
                </w:p>
              </w:tc>
            </w:tr>
            <w:tr w14:paraId="24855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88" w:type="pct"/>
                  <w:vMerge w:val="continue"/>
                  <w:shd w:val="clear" w:color="auto" w:fill="auto"/>
                  <w:vAlign w:val="center"/>
                </w:tcPr>
                <w:p w14:paraId="77223A94">
                  <w:pPr>
                    <w:jc w:val="center"/>
                    <w:rPr>
                      <w:rFonts w:hint="default" w:ascii="Times New Roman" w:hAnsi="Times New Roman" w:cs="Times New Roman"/>
                      <w:color w:val="auto"/>
                      <w:szCs w:val="21"/>
                      <w:highlight w:val="none"/>
                    </w:rPr>
                  </w:pPr>
                </w:p>
              </w:tc>
              <w:tc>
                <w:tcPr>
                  <w:tcW w:w="1463" w:type="pct"/>
                  <w:shd w:val="clear" w:color="auto" w:fill="auto"/>
                  <w:vAlign w:val="center"/>
                </w:tcPr>
                <w:p w14:paraId="772E2D62">
                  <w:pPr>
                    <w:adjustRightInd w:val="0"/>
                    <w:snapToGrid w:val="0"/>
                    <w:jc w:val="center"/>
                    <w:rPr>
                      <w:rFonts w:hint="default" w:ascii="Times New Roman" w:hAnsi="Times New Roman" w:eastAsia="Times New Roman" w:cs="Times New Roman"/>
                      <w:color w:val="auto"/>
                      <w:szCs w:val="21"/>
                      <w:highlight w:val="none"/>
                    </w:rPr>
                  </w:pPr>
                  <w:r>
                    <w:rPr>
                      <w:rFonts w:hint="default" w:ascii="Times New Roman" w:hAnsi="Times New Roman" w:cs="Times New Roman"/>
                      <w:color w:val="auto"/>
                      <w:kern w:val="0"/>
                      <w:szCs w:val="21"/>
                      <w:highlight w:val="none"/>
                    </w:rPr>
                    <w:t>调试</w:t>
                  </w:r>
                </w:p>
              </w:tc>
              <w:tc>
                <w:tcPr>
                  <w:tcW w:w="648" w:type="pct"/>
                  <w:shd w:val="clear" w:color="auto" w:fill="auto"/>
                  <w:vAlign w:val="center"/>
                </w:tcPr>
                <w:p w14:paraId="418FFEEA">
                  <w:pPr>
                    <w:adjustRightInd w:val="0"/>
                    <w:snapToGrid w:val="0"/>
                    <w:jc w:val="center"/>
                    <w:rPr>
                      <w:rFonts w:hint="default" w:ascii="Times New Roman" w:hAnsi="Times New Roman" w:eastAsia="Times New Roman" w:cs="Times New Roman"/>
                      <w:color w:val="auto"/>
                      <w:szCs w:val="21"/>
                      <w:highlight w:val="none"/>
                    </w:rPr>
                  </w:pPr>
                </w:p>
              </w:tc>
              <w:tc>
                <w:tcPr>
                  <w:tcW w:w="663" w:type="pct"/>
                  <w:shd w:val="clear" w:color="auto" w:fill="auto"/>
                  <w:vAlign w:val="center"/>
                </w:tcPr>
                <w:p w14:paraId="4C3329A7">
                  <w:pPr>
                    <w:adjustRightInd w:val="0"/>
                    <w:snapToGrid w:val="0"/>
                    <w:jc w:val="center"/>
                    <w:rPr>
                      <w:rFonts w:hint="default" w:ascii="Times New Roman" w:hAnsi="Times New Roman" w:eastAsia="Times New Roman" w:cs="Times New Roman"/>
                      <w:color w:val="auto"/>
                      <w:szCs w:val="21"/>
                      <w:highlight w:val="none"/>
                    </w:rPr>
                  </w:pPr>
                </w:p>
              </w:tc>
              <w:tc>
                <w:tcPr>
                  <w:tcW w:w="663" w:type="pct"/>
                  <w:shd w:val="clear" w:color="auto" w:fill="auto"/>
                  <w:vAlign w:val="center"/>
                </w:tcPr>
                <w:p w14:paraId="4B5BFD4C">
                  <w:pPr>
                    <w:adjustRightInd w:val="0"/>
                    <w:snapToGrid w:val="0"/>
                    <w:jc w:val="center"/>
                    <w:rPr>
                      <w:rFonts w:hint="default" w:ascii="Times New Roman" w:hAnsi="Times New Roman" w:eastAsia="Times New Roman" w:cs="Times New Roman"/>
                      <w:color w:val="auto"/>
                      <w:kern w:val="2"/>
                      <w:sz w:val="21"/>
                      <w:szCs w:val="21"/>
                      <w:highlight w:val="none"/>
                      <w:lang w:val="en-US" w:eastAsia="zh-CN" w:bidi="ar-SA"/>
                    </w:rPr>
                  </w:pPr>
                </w:p>
              </w:tc>
              <w:tc>
                <w:tcPr>
                  <w:tcW w:w="672" w:type="pct"/>
                  <w:shd w:val="clear" w:color="auto" w:fill="7F7F7F"/>
                  <w:vAlign w:val="center"/>
                </w:tcPr>
                <w:p w14:paraId="61D1D2EB">
                  <w:pPr>
                    <w:adjustRightInd w:val="0"/>
                    <w:snapToGrid w:val="0"/>
                    <w:jc w:val="center"/>
                    <w:rPr>
                      <w:rFonts w:hint="default" w:ascii="Times New Roman" w:hAnsi="Times New Roman" w:eastAsia="Times New Roman" w:cs="Times New Roman"/>
                      <w:color w:val="auto"/>
                      <w:kern w:val="2"/>
                      <w:sz w:val="21"/>
                      <w:szCs w:val="21"/>
                      <w:highlight w:val="none"/>
                      <w:lang w:val="en-US" w:eastAsia="zh-CN" w:bidi="ar-SA"/>
                    </w:rPr>
                  </w:pPr>
                </w:p>
              </w:tc>
            </w:tr>
          </w:tbl>
          <w:p w14:paraId="1E30031B">
            <w:pPr>
              <w:pStyle w:val="2"/>
              <w:ind w:left="0" w:leftChars="0" w:firstLine="0" w:firstLineChars="0"/>
              <w:rPr>
                <w:rFonts w:hint="default" w:ascii="Times New Roman" w:hAnsi="Times New Roman" w:cs="Times New Roman"/>
                <w:color w:val="auto"/>
                <w:highlight w:val="none"/>
              </w:rPr>
            </w:pPr>
          </w:p>
        </w:tc>
      </w:tr>
      <w:tr w14:paraId="25105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5" w:type="pct"/>
            <w:vAlign w:val="center"/>
          </w:tcPr>
          <w:p w14:paraId="3AF7A8E7">
            <w:pPr>
              <w:adjustRightInd w:val="0"/>
              <w:snapToGrid w:val="0"/>
              <w:jc w:val="center"/>
              <w:rPr>
                <w:rFonts w:hint="default" w:ascii="Times New Roman" w:hAnsi="Times New Roman" w:cs="Times New Roman"/>
                <w:color w:val="auto"/>
                <w:kern w:val="0"/>
                <w:szCs w:val="21"/>
                <w:highlight w:val="none"/>
              </w:rPr>
            </w:pPr>
            <w:r>
              <w:rPr>
                <w:rStyle w:val="51"/>
                <w:rFonts w:hint="default" w:ascii="Times New Roman" w:hAnsi="Times New Roman" w:cs="Times New Roman"/>
                <w:color w:val="auto"/>
                <w:kern w:val="0"/>
                <w:szCs w:val="20"/>
                <w:highlight w:val="none"/>
              </w:rPr>
              <w:t>其他</w:t>
            </w:r>
          </w:p>
        </w:tc>
        <w:tc>
          <w:tcPr>
            <w:tcW w:w="4764" w:type="pct"/>
            <w:vAlign w:val="center"/>
          </w:tcPr>
          <w:p w14:paraId="4A1768D4">
            <w:pPr>
              <w:keepNext/>
              <w:keepLines/>
              <w:pageBreakBefore w:val="0"/>
              <w:widowControl w:val="0"/>
              <w:tabs>
                <w:tab w:val="left" w:pos="420"/>
                <w:tab w:val="left" w:pos="567"/>
              </w:tabs>
              <w:kinsoku/>
              <w:wordWrap/>
              <w:overflowPunct/>
              <w:topLinePunct w:val="0"/>
              <w:autoSpaceDE/>
              <w:bidi w:val="0"/>
              <w:spacing w:line="348" w:lineRule="auto"/>
              <w:jc w:val="left"/>
              <w:textAlignment w:val="auto"/>
              <w:outlineLvl w:val="1"/>
              <w:rPr>
                <w:rFonts w:hint="default" w:ascii="Times New Roman" w:hAnsi="Times New Roman" w:cs="Times New Roman"/>
                <w:b/>
                <w:bCs/>
                <w:color w:val="auto"/>
                <w:sz w:val="24"/>
                <w:highlight w:val="none"/>
              </w:rPr>
            </w:pPr>
            <w:r>
              <w:rPr>
                <w:rFonts w:hint="eastAsia" w:cs="Times New Roman"/>
                <w:b/>
                <w:bCs/>
                <w:color w:val="auto"/>
                <w:sz w:val="24"/>
                <w:highlight w:val="none"/>
                <w:lang w:val="en-US" w:eastAsia="zh-CN"/>
              </w:rPr>
              <w:t>1</w:t>
            </w:r>
            <w:r>
              <w:rPr>
                <w:rFonts w:hint="default" w:ascii="Times New Roman" w:hAnsi="Times New Roman" w:cs="Times New Roman"/>
                <w:b/>
                <w:bCs/>
                <w:color w:val="auto"/>
                <w:sz w:val="24"/>
                <w:highlight w:val="none"/>
                <w:lang w:val="en-US" w:eastAsia="zh-CN"/>
              </w:rPr>
              <w:t>.</w:t>
            </w:r>
            <w:r>
              <w:rPr>
                <w:rFonts w:hint="default" w:ascii="Times New Roman" w:hAnsi="Times New Roman" w:cs="Times New Roman"/>
                <w:b/>
                <w:bCs/>
                <w:color w:val="auto"/>
                <w:sz w:val="24"/>
                <w:highlight w:val="none"/>
              </w:rPr>
              <w:t>线路路径方案比选</w:t>
            </w:r>
          </w:p>
          <w:p w14:paraId="458EA951">
            <w:pPr>
              <w:pageBreakBefore w:val="0"/>
              <w:widowControl w:val="0"/>
              <w:kinsoku/>
              <w:wordWrap/>
              <w:overflowPunct/>
              <w:topLinePunct w:val="0"/>
              <w:autoSpaceDE/>
              <w:bidi w:val="0"/>
              <w:spacing w:line="348" w:lineRule="auto"/>
              <w:ind w:firstLine="480" w:firstLineChars="200"/>
              <w:textAlignment w:val="auto"/>
              <w:rPr>
                <w:rFonts w:hint="default" w:ascii="Times New Roman" w:hAnsi="Times New Roman" w:cs="Times New Roman"/>
                <w:color w:val="auto"/>
                <w:sz w:val="24"/>
                <w:highlight w:val="none"/>
                <w:u w:val="none"/>
                <w:lang w:val="en-US" w:eastAsia="zh-CN"/>
              </w:rPr>
            </w:pPr>
            <w:r>
              <w:rPr>
                <w:rFonts w:hint="eastAsia"/>
                <w:color w:val="auto"/>
                <w:sz w:val="24"/>
                <w:highlight w:val="none"/>
                <w:lang w:val="en-US" w:eastAsia="zh-CN"/>
              </w:rPr>
              <w:t>电缆线路考虑</w:t>
            </w:r>
            <w:r>
              <w:rPr>
                <w:rFonts w:hint="default"/>
                <w:color w:val="auto"/>
                <w:sz w:val="24"/>
                <w:highlight w:val="none"/>
                <w:lang w:val="en-US" w:eastAsia="zh-CN"/>
              </w:rPr>
              <w:t>尽量利用现有的电缆管道</w:t>
            </w:r>
            <w:r>
              <w:rPr>
                <w:rFonts w:hint="eastAsia"/>
                <w:color w:val="auto"/>
                <w:sz w:val="24"/>
                <w:highlight w:val="none"/>
                <w:lang w:val="en-US" w:eastAsia="zh-CN"/>
              </w:rPr>
              <w:t>，不涉及饮用水源保护区和生态敏感区，路径唯一，无比选路径方案</w:t>
            </w:r>
            <w:r>
              <w:rPr>
                <w:rFonts w:hint="default"/>
                <w:color w:val="auto"/>
                <w:sz w:val="24"/>
                <w:highlight w:val="none"/>
                <w:lang w:val="en-US" w:eastAsia="zh-CN"/>
              </w:rPr>
              <w:t>。</w:t>
            </w:r>
          </w:p>
          <w:p w14:paraId="3E769DC9">
            <w:pPr>
              <w:keepNext/>
              <w:keepLines/>
              <w:pageBreakBefore w:val="0"/>
              <w:widowControl w:val="0"/>
              <w:tabs>
                <w:tab w:val="left" w:pos="420"/>
                <w:tab w:val="left" w:pos="567"/>
              </w:tabs>
              <w:kinsoku/>
              <w:wordWrap/>
              <w:overflowPunct/>
              <w:topLinePunct w:val="0"/>
              <w:autoSpaceDE/>
              <w:bidi w:val="0"/>
              <w:spacing w:line="348" w:lineRule="auto"/>
              <w:jc w:val="left"/>
              <w:textAlignment w:val="auto"/>
              <w:outlineLvl w:val="1"/>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3</w:t>
            </w:r>
            <w:r>
              <w:rPr>
                <w:rFonts w:hint="default" w:ascii="Times New Roman" w:hAnsi="Times New Roman" w:cs="Times New Roman"/>
                <w:b/>
                <w:bCs/>
                <w:color w:val="auto"/>
                <w:sz w:val="24"/>
                <w:highlight w:val="none"/>
              </w:rPr>
              <w:t>.施工方案比选</w:t>
            </w:r>
          </w:p>
          <w:p w14:paraId="267657BA">
            <w:pPr>
              <w:pageBreakBefore w:val="0"/>
              <w:widowControl w:val="0"/>
              <w:kinsoku/>
              <w:wordWrap/>
              <w:overflowPunct/>
              <w:topLinePunct w:val="0"/>
              <w:autoSpaceDE/>
              <w:bidi w:val="0"/>
              <w:spacing w:line="348"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本项目尚未开工，施工单位尚未确定，施工组织方案暂按常规方案考虑。</w:t>
            </w:r>
          </w:p>
          <w:p w14:paraId="64258531">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20D5BDD9">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3745E19A">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33215B08">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1FE8C24B">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13D3A3AD">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27E1F409">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1E3A509F">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3790A1E5">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4BE10BBC">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14FFCC0A">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3201C09E">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55233AFA">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6A583D89">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60A9788D">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6C9492B2">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48F58717">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387E2CA1">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107990C7">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2D1E9C62">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5CBA182C">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p w14:paraId="2BC9A107">
            <w:pPr>
              <w:pageBreakBefore w:val="0"/>
              <w:widowControl w:val="0"/>
              <w:kinsoku/>
              <w:wordWrap/>
              <w:overflowPunct/>
              <w:topLinePunct w:val="0"/>
              <w:autoSpaceDE/>
              <w:autoSpaceDN w:val="0"/>
              <w:bidi w:val="0"/>
              <w:adjustRightInd w:val="0"/>
              <w:snapToGrid w:val="0"/>
              <w:spacing w:line="348" w:lineRule="auto"/>
              <w:ind w:firstLine="480"/>
              <w:textAlignment w:val="auto"/>
              <w:rPr>
                <w:rFonts w:hint="default" w:ascii="Times New Roman" w:hAnsi="Times New Roman" w:cs="Times New Roman"/>
                <w:color w:val="auto"/>
                <w:sz w:val="24"/>
                <w:highlight w:val="none"/>
              </w:rPr>
            </w:pPr>
          </w:p>
        </w:tc>
      </w:tr>
    </w:tbl>
    <w:p w14:paraId="36F8675B">
      <w:pPr>
        <w:pStyle w:val="39"/>
        <w:jc w:val="center"/>
        <w:outlineLvl w:val="0"/>
        <w:rPr>
          <w:rFonts w:ascii="Times New Roman" w:hAnsi="Times New Roman" w:eastAsia="仿宋"/>
          <w:b/>
          <w:bCs/>
          <w:color w:val="auto"/>
          <w:highlight w:val="none"/>
        </w:rPr>
        <w:sectPr>
          <w:pgSz w:w="11906" w:h="16838"/>
          <w:pgMar w:top="1134" w:right="1361" w:bottom="1134" w:left="1361" w:header="851" w:footer="890" w:gutter="0"/>
          <w:pgBorders>
            <w:top w:val="none" w:sz="0" w:space="0"/>
            <w:left w:val="none" w:sz="0" w:space="0"/>
            <w:bottom w:val="none" w:sz="0" w:space="0"/>
            <w:right w:val="none" w:sz="0" w:space="0"/>
          </w:pgBorders>
          <w:cols w:space="720" w:num="1"/>
          <w:docGrid w:linePitch="312" w:charSpace="0"/>
        </w:sectPr>
      </w:pPr>
    </w:p>
    <w:p w14:paraId="7E46B487">
      <w:pPr>
        <w:pStyle w:val="39"/>
        <w:jc w:val="center"/>
        <w:outlineLvl w:val="0"/>
        <w:rPr>
          <w:rFonts w:ascii="Times New Roman" w:hAnsi="Times New Roman" w:eastAsia="黑体"/>
          <w:snapToGrid w:val="0"/>
          <w:color w:val="auto"/>
          <w:sz w:val="30"/>
          <w:szCs w:val="30"/>
          <w:highlight w:val="none"/>
        </w:rPr>
      </w:pPr>
      <w:bookmarkStart w:id="16" w:name="_Toc16812"/>
      <w:bookmarkStart w:id="17" w:name="_Toc79488352"/>
      <w:bookmarkStart w:id="18" w:name="_Toc70507849"/>
      <w:r>
        <w:rPr>
          <w:rFonts w:ascii="Times New Roman" w:hAnsi="Times New Roman" w:eastAsia="黑体"/>
          <w:snapToGrid w:val="0"/>
          <w:color w:val="auto"/>
          <w:sz w:val="30"/>
          <w:szCs w:val="30"/>
          <w:highlight w:val="none"/>
        </w:rPr>
        <w:t>三、生态环境现状、保护目标及评价标准</w:t>
      </w:r>
      <w:bookmarkEnd w:id="16"/>
      <w:bookmarkEnd w:id="17"/>
      <w:bookmarkEnd w:id="18"/>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944"/>
      </w:tblGrid>
      <w:tr w14:paraId="4F781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 w:type="pct"/>
            <w:vAlign w:val="center"/>
          </w:tcPr>
          <w:p w14:paraId="7988A89C">
            <w:pPr>
              <w:pStyle w:val="39"/>
              <w:jc w:val="center"/>
              <w:outlineLvl w:val="0"/>
              <w:rPr>
                <w:rFonts w:ascii="Times New Roman" w:hAnsi="Times New Roman" w:eastAsia="黑体"/>
                <w:snapToGrid w:val="0"/>
                <w:color w:val="auto"/>
                <w:sz w:val="30"/>
                <w:szCs w:val="30"/>
                <w:highlight w:val="none"/>
              </w:rPr>
            </w:pPr>
            <w:bookmarkStart w:id="19" w:name="_Toc7035"/>
            <w:r>
              <w:rPr>
                <w:color w:val="auto"/>
                <w:szCs w:val="21"/>
                <w:highlight w:val="none"/>
              </w:rPr>
              <w:t>生态环境现状</w:t>
            </w:r>
            <w:bookmarkEnd w:id="19"/>
          </w:p>
        </w:tc>
        <w:tc>
          <w:tcPr>
            <w:tcW w:w="4791" w:type="pct"/>
          </w:tcPr>
          <w:p w14:paraId="0AB95565">
            <w:pPr>
              <w:pStyle w:val="4"/>
              <w:adjustRightInd/>
              <w:spacing w:line="360" w:lineRule="auto"/>
              <w:ind w:firstLine="0"/>
              <w:outlineLvl w:val="2"/>
              <w:rPr>
                <w:b/>
                <w:bCs/>
                <w:color w:val="auto"/>
                <w:szCs w:val="24"/>
                <w:highlight w:val="none"/>
              </w:rPr>
            </w:pPr>
            <w:r>
              <w:rPr>
                <w:rFonts w:hint="eastAsia"/>
                <w:b/>
                <w:bCs/>
                <w:color w:val="auto"/>
                <w:szCs w:val="24"/>
                <w:highlight w:val="none"/>
              </w:rPr>
              <w:t>1</w:t>
            </w:r>
            <w:r>
              <w:rPr>
                <w:b/>
                <w:bCs/>
                <w:color w:val="auto"/>
                <w:szCs w:val="24"/>
                <w:highlight w:val="none"/>
              </w:rPr>
              <w:t>.</w:t>
            </w:r>
            <w:r>
              <w:rPr>
                <w:rFonts w:hint="eastAsia"/>
                <w:b/>
                <w:bCs/>
                <w:color w:val="auto"/>
                <w:szCs w:val="24"/>
                <w:highlight w:val="none"/>
              </w:rPr>
              <w:t>生态环境</w:t>
            </w:r>
          </w:p>
          <w:p w14:paraId="030DCCC0">
            <w:pPr>
              <w:pStyle w:val="4"/>
              <w:adjustRightInd/>
              <w:spacing w:line="360" w:lineRule="auto"/>
              <w:ind w:firstLine="0"/>
              <w:outlineLvl w:val="2"/>
              <w:rPr>
                <w:b/>
                <w:bCs/>
                <w:color w:val="auto"/>
                <w:szCs w:val="24"/>
                <w:highlight w:val="none"/>
              </w:rPr>
            </w:pPr>
            <w:r>
              <w:rPr>
                <w:rFonts w:hint="eastAsia"/>
                <w:b/>
                <w:bCs/>
                <w:color w:val="auto"/>
                <w:szCs w:val="24"/>
                <w:highlight w:val="none"/>
              </w:rPr>
              <w:t>1.1主体功能区划</w:t>
            </w:r>
          </w:p>
          <w:p w14:paraId="21CEA5E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shd w:val="clear" w:color="auto" w:fill="FFFFFF"/>
                <w:lang w:val="en-US" w:eastAsia="zh-CN"/>
              </w:rPr>
            </w:pPr>
            <w:r>
              <w:rPr>
                <w:rFonts w:hint="eastAsia" w:ascii="Times New Roman" w:hAnsi="Times New Roman" w:eastAsia="宋体" w:cs="Times New Roman"/>
                <w:color w:val="auto"/>
                <w:sz w:val="24"/>
                <w:highlight w:val="none"/>
                <w:shd w:val="clear" w:color="auto" w:fill="FFFFFF"/>
                <w:lang w:val="en-US" w:eastAsia="zh-CN"/>
              </w:rPr>
              <w:t>根据《柳州市国土空间总体规划（2021-2035年）》，</w:t>
            </w:r>
            <w:r>
              <w:rPr>
                <w:rFonts w:hint="eastAsia" w:cs="Times New Roman"/>
                <w:color w:val="auto"/>
                <w:sz w:val="24"/>
                <w:highlight w:val="none"/>
                <w:shd w:val="clear" w:color="auto" w:fill="FFFFFF"/>
                <w:lang w:val="en-US" w:eastAsia="zh-CN"/>
              </w:rPr>
              <w:t>本项目</w:t>
            </w:r>
            <w:r>
              <w:rPr>
                <w:rFonts w:hint="eastAsia" w:ascii="Times New Roman" w:hAnsi="Times New Roman" w:eastAsia="宋体" w:cs="Times New Roman"/>
                <w:color w:val="auto"/>
                <w:sz w:val="24"/>
                <w:highlight w:val="none"/>
                <w:shd w:val="clear" w:color="auto" w:fill="FFFFFF"/>
                <w:lang w:val="en-US" w:eastAsia="zh-CN"/>
              </w:rPr>
              <w:t>所在地属于</w:t>
            </w:r>
            <w:r>
              <w:rPr>
                <w:rFonts w:hint="eastAsia" w:cs="Times New Roman"/>
                <w:color w:val="auto"/>
                <w:sz w:val="24"/>
                <w:highlight w:val="none"/>
                <w:shd w:val="clear" w:color="auto" w:fill="FFFFFF"/>
                <w:lang w:val="en-US" w:eastAsia="zh-CN"/>
              </w:rPr>
              <w:t>柳州市市域</w:t>
            </w:r>
            <w:r>
              <w:rPr>
                <w:rFonts w:hint="eastAsia" w:ascii="Times New Roman" w:hAnsi="Times New Roman" w:eastAsia="宋体" w:cs="Times New Roman"/>
                <w:color w:val="auto"/>
                <w:sz w:val="24"/>
                <w:highlight w:val="none"/>
                <w:shd w:val="clear" w:color="auto" w:fill="FFFFFF"/>
                <w:lang w:val="en-US" w:eastAsia="zh-CN"/>
              </w:rPr>
              <w:t>主体功能分布中的城市化地区。</w:t>
            </w:r>
          </w:p>
          <w:p w14:paraId="1C6375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shd w:val="clear" w:color="auto" w:fill="FFFFFF"/>
              </w:rPr>
            </w:pPr>
            <w:r>
              <w:rPr>
                <w:rFonts w:hint="eastAsia" w:ascii="Times New Roman" w:hAnsi="Times New Roman" w:eastAsia="宋体" w:cs="Times New Roman"/>
                <w:color w:val="auto"/>
                <w:sz w:val="24"/>
                <w:highlight w:val="none"/>
                <w:shd w:val="clear" w:color="auto" w:fill="FFFFFF"/>
                <w:lang w:val="en-US" w:eastAsia="zh-CN"/>
              </w:rPr>
              <w:t>本项目为电力基础设施建设，主要服务于区域经济发展，</w:t>
            </w:r>
            <w:r>
              <w:rPr>
                <w:rFonts w:hint="eastAsia"/>
                <w:color w:val="auto"/>
                <w:sz w:val="24"/>
                <w:highlight w:val="none"/>
                <w:shd w:val="clear" w:color="auto" w:fill="FFFFFF"/>
                <w:lang w:val="en-US" w:eastAsia="zh-CN"/>
              </w:rPr>
              <w:t>对区域的城市化发展提供电力保障，符合</w:t>
            </w:r>
            <w:r>
              <w:rPr>
                <w:rFonts w:hint="eastAsia"/>
                <w:color w:val="auto"/>
                <w:sz w:val="24"/>
                <w:highlight w:val="none"/>
                <w:lang w:val="en-US" w:eastAsia="zh-CN"/>
              </w:rPr>
              <w:t>柳州市主体功能分区的规划发展要求</w:t>
            </w:r>
            <w:r>
              <w:rPr>
                <w:rFonts w:hint="eastAsia"/>
                <w:color w:val="auto"/>
                <w:sz w:val="24"/>
                <w:highlight w:val="none"/>
                <w:shd w:val="clear" w:color="auto" w:fill="FFFFFF"/>
              </w:rPr>
              <w:t>。</w:t>
            </w:r>
          </w:p>
          <w:p w14:paraId="76D118C8">
            <w:pPr>
              <w:pStyle w:val="4"/>
              <w:adjustRightInd/>
              <w:spacing w:line="360" w:lineRule="auto"/>
              <w:ind w:firstLine="0"/>
              <w:outlineLvl w:val="2"/>
              <w:rPr>
                <w:b/>
                <w:bCs/>
                <w:color w:val="auto"/>
                <w:szCs w:val="24"/>
                <w:highlight w:val="none"/>
              </w:rPr>
            </w:pPr>
            <w:r>
              <w:rPr>
                <w:rFonts w:hint="eastAsia"/>
                <w:b/>
                <w:bCs/>
                <w:color w:val="auto"/>
                <w:szCs w:val="24"/>
                <w:highlight w:val="none"/>
              </w:rPr>
              <w:t>1</w:t>
            </w:r>
            <w:r>
              <w:rPr>
                <w:b/>
                <w:bCs/>
                <w:color w:val="auto"/>
                <w:szCs w:val="24"/>
                <w:highlight w:val="none"/>
              </w:rPr>
              <w:t>.2</w:t>
            </w:r>
            <w:r>
              <w:rPr>
                <w:b/>
                <w:bCs/>
                <w:color w:val="auto"/>
                <w:sz w:val="24"/>
                <w:highlight w:val="none"/>
              </w:rPr>
              <w:t>广西壮族自治区</w:t>
            </w:r>
            <w:r>
              <w:rPr>
                <w:rFonts w:hint="eastAsia"/>
                <w:b/>
                <w:bCs/>
                <w:color w:val="auto"/>
                <w:szCs w:val="24"/>
                <w:highlight w:val="none"/>
              </w:rPr>
              <w:t>生态功能区划</w:t>
            </w:r>
          </w:p>
          <w:p w14:paraId="6DDAF309">
            <w:pPr>
              <w:spacing w:line="360" w:lineRule="auto"/>
              <w:ind w:firstLine="480" w:firstLineChars="200"/>
              <w:rPr>
                <w:color w:val="auto"/>
                <w:highlight w:val="none"/>
              </w:rPr>
            </w:pPr>
            <w:r>
              <w:rPr>
                <w:color w:val="auto"/>
                <w:sz w:val="24"/>
                <w:highlight w:val="none"/>
                <w:shd w:val="clear" w:color="auto" w:fill="FFFFFF"/>
              </w:rPr>
              <w:t>根据《广西壮族自治区人民政府办公厅关于印发广西壮族自治区生态功能区划的通知》（桂政办发〔2008〕8号</w:t>
            </w:r>
            <w:r>
              <w:rPr>
                <w:rFonts w:hint="eastAsia"/>
                <w:color w:val="auto"/>
                <w:sz w:val="24"/>
                <w:highlight w:val="none"/>
                <w:shd w:val="clear" w:color="auto" w:fill="FFFFFF"/>
              </w:rPr>
              <w:t>），</w:t>
            </w:r>
            <w:r>
              <w:rPr>
                <w:color w:val="auto"/>
                <w:sz w:val="24"/>
                <w:highlight w:val="none"/>
                <w:shd w:val="clear" w:color="auto" w:fill="FFFFFF"/>
              </w:rPr>
              <w:t>本项目所在地</w:t>
            </w:r>
            <w:r>
              <w:rPr>
                <w:rFonts w:hint="eastAsia"/>
                <w:color w:val="auto"/>
                <w:sz w:val="24"/>
                <w:highlight w:val="none"/>
                <w:shd w:val="clear" w:color="auto" w:fill="FFFFFF"/>
              </w:rPr>
              <w:t>位于（三）人居保障功能区—3-1 中心城市功能区—3-1-2 柳州中心城市功能区。</w:t>
            </w:r>
            <w:r>
              <w:rPr>
                <w:color w:val="auto"/>
                <w:sz w:val="24"/>
                <w:highlight w:val="none"/>
              </w:rPr>
              <w:t>本项目属电力基础设施建设，运行期无废气及</w:t>
            </w:r>
            <w:r>
              <w:rPr>
                <w:rFonts w:hint="eastAsia"/>
                <w:color w:val="auto"/>
                <w:sz w:val="24"/>
                <w:highlight w:val="none"/>
                <w:lang w:val="en-US" w:eastAsia="zh-CN"/>
              </w:rPr>
              <w:t>生产</w:t>
            </w:r>
            <w:r>
              <w:rPr>
                <w:color w:val="auto"/>
                <w:sz w:val="24"/>
                <w:highlight w:val="none"/>
              </w:rPr>
              <w:t>废水排放，不会对项目周边生态环境造成破坏，项目建设符合广西壮族自治区生态功能区划</w:t>
            </w:r>
            <w:r>
              <w:rPr>
                <w:color w:val="auto"/>
                <w:sz w:val="24"/>
                <w:highlight w:val="none"/>
                <w:shd w:val="clear" w:color="auto" w:fill="FFFFFF"/>
              </w:rPr>
              <w:t>。</w:t>
            </w:r>
          </w:p>
          <w:p w14:paraId="1E7DE873">
            <w:pPr>
              <w:pStyle w:val="4"/>
              <w:adjustRightInd/>
              <w:spacing w:line="360" w:lineRule="auto"/>
              <w:ind w:firstLine="0"/>
              <w:outlineLvl w:val="2"/>
              <w:rPr>
                <w:b/>
                <w:bCs/>
                <w:color w:val="auto"/>
                <w:szCs w:val="24"/>
                <w:highlight w:val="none"/>
              </w:rPr>
            </w:pPr>
            <w:r>
              <w:rPr>
                <w:rFonts w:hint="eastAsia"/>
                <w:b/>
                <w:bCs/>
                <w:color w:val="auto"/>
                <w:szCs w:val="24"/>
                <w:highlight w:val="none"/>
              </w:rPr>
              <w:t>1</w:t>
            </w:r>
            <w:r>
              <w:rPr>
                <w:b/>
                <w:bCs/>
                <w:color w:val="auto"/>
                <w:szCs w:val="24"/>
                <w:highlight w:val="none"/>
              </w:rPr>
              <w:t>.3</w:t>
            </w:r>
            <w:r>
              <w:rPr>
                <w:rFonts w:hint="eastAsia"/>
                <w:b/>
                <w:bCs/>
                <w:color w:val="auto"/>
                <w:szCs w:val="24"/>
                <w:highlight w:val="none"/>
              </w:rPr>
              <w:t>生态环境现状</w:t>
            </w:r>
          </w:p>
          <w:p w14:paraId="5F4B3D2C">
            <w:pPr>
              <w:spacing w:line="360" w:lineRule="auto"/>
              <w:rPr>
                <w:b/>
                <w:bCs/>
                <w:color w:val="auto"/>
                <w:sz w:val="24"/>
                <w:highlight w:val="none"/>
              </w:rPr>
            </w:pPr>
            <w:r>
              <w:rPr>
                <w:b/>
                <w:bCs/>
                <w:color w:val="auto"/>
                <w:sz w:val="24"/>
                <w:highlight w:val="none"/>
              </w:rPr>
              <w:t>1.3.1</w:t>
            </w:r>
            <w:r>
              <w:rPr>
                <w:rFonts w:hint="eastAsia"/>
                <w:b/>
                <w:bCs/>
                <w:color w:val="auto"/>
                <w:sz w:val="24"/>
                <w:highlight w:val="none"/>
              </w:rPr>
              <w:t>土地利用现状</w:t>
            </w:r>
          </w:p>
          <w:p w14:paraId="6476A011">
            <w:pPr>
              <w:spacing w:line="360" w:lineRule="auto"/>
              <w:ind w:firstLine="480" w:firstLineChars="200"/>
              <w:rPr>
                <w:rFonts w:hint="default" w:eastAsia="宋体"/>
                <w:color w:val="auto"/>
                <w:sz w:val="24"/>
                <w:highlight w:val="none"/>
                <w:lang w:val="en-US" w:eastAsia="zh-CN"/>
              </w:rPr>
            </w:pPr>
            <w:r>
              <w:rPr>
                <w:rFonts w:hint="default" w:ascii="Times New Roman" w:hAnsi="Times New Roman" w:cs="Times New Roman"/>
                <w:color w:val="auto"/>
                <w:sz w:val="24"/>
                <w:highlight w:val="none"/>
              </w:rPr>
              <w:t>本项目总占地面积</w:t>
            </w:r>
            <w:r>
              <w:rPr>
                <w:rFonts w:hint="eastAsia" w:cs="Times New Roman"/>
                <w:color w:val="auto"/>
                <w:sz w:val="24"/>
                <w:highlight w:val="none"/>
                <w:lang w:val="en-US" w:eastAsia="zh-CN"/>
              </w:rPr>
              <w:t>约3020</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，其中永久占地</w:t>
            </w:r>
            <w:r>
              <w:rPr>
                <w:rFonts w:hint="eastAsia" w:cs="Times New Roman"/>
                <w:color w:val="auto"/>
                <w:sz w:val="24"/>
                <w:highlight w:val="none"/>
                <w:lang w:val="en-US" w:eastAsia="zh-CN"/>
              </w:rPr>
              <w:t>约20</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，临时占地</w:t>
            </w:r>
            <w:r>
              <w:rPr>
                <w:rFonts w:hint="eastAsia" w:cs="Times New Roman"/>
                <w:color w:val="auto"/>
                <w:sz w:val="24"/>
                <w:highlight w:val="none"/>
                <w:lang w:val="en-US" w:eastAsia="zh-CN"/>
              </w:rPr>
              <w:t>约3000</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2</w:t>
            </w:r>
            <w:r>
              <w:rPr>
                <w:rFonts w:hint="eastAsia"/>
                <w:color w:val="auto"/>
                <w:sz w:val="24"/>
                <w:highlight w:val="none"/>
              </w:rPr>
              <w:t>。线路沿线主要</w:t>
            </w:r>
            <w:r>
              <w:rPr>
                <w:rFonts w:hint="eastAsia"/>
                <w:color w:val="auto"/>
                <w:sz w:val="24"/>
                <w:highlight w:val="none"/>
                <w:lang w:val="en-US" w:eastAsia="zh-CN"/>
              </w:rPr>
              <w:t>占地</w:t>
            </w:r>
            <w:r>
              <w:rPr>
                <w:rFonts w:hint="eastAsia"/>
                <w:color w:val="auto"/>
                <w:sz w:val="24"/>
                <w:highlight w:val="none"/>
              </w:rPr>
              <w:t>类型为公共管理与公共服务用地、交通运输用地。</w:t>
            </w:r>
          </w:p>
          <w:p w14:paraId="5C3A07EA">
            <w:pPr>
              <w:spacing w:line="360" w:lineRule="auto"/>
              <w:rPr>
                <w:b/>
                <w:bCs/>
                <w:color w:val="auto"/>
                <w:sz w:val="24"/>
                <w:highlight w:val="none"/>
              </w:rPr>
            </w:pPr>
            <w:r>
              <w:rPr>
                <w:rFonts w:hint="eastAsia"/>
                <w:b/>
                <w:bCs/>
                <w:color w:val="auto"/>
                <w:sz w:val="24"/>
                <w:highlight w:val="none"/>
              </w:rPr>
              <w:t>1.3.2植被</w:t>
            </w:r>
          </w:p>
          <w:p w14:paraId="394E7DCA">
            <w:pPr>
              <w:spacing w:line="360" w:lineRule="auto"/>
              <w:ind w:firstLine="480" w:firstLineChars="200"/>
              <w:rPr>
                <w:color w:val="auto"/>
                <w:sz w:val="24"/>
                <w:highlight w:val="none"/>
              </w:rPr>
            </w:pPr>
            <w:r>
              <w:rPr>
                <w:rFonts w:hint="eastAsia"/>
                <w:color w:val="auto"/>
                <w:sz w:val="24"/>
                <w:highlight w:val="none"/>
              </w:rPr>
              <w:t>根据现场勘查</w:t>
            </w:r>
            <w:r>
              <w:rPr>
                <w:rFonts w:hint="eastAsia"/>
                <w:color w:val="auto"/>
                <w:sz w:val="24"/>
                <w:highlight w:val="none"/>
                <w:lang w:eastAsia="zh-CN"/>
              </w:rPr>
              <w:t>，</w:t>
            </w:r>
            <w:r>
              <w:rPr>
                <w:rFonts w:hint="eastAsia"/>
                <w:color w:val="auto"/>
                <w:sz w:val="24"/>
                <w:highlight w:val="none"/>
              </w:rPr>
              <w:t>线路沿线</w:t>
            </w:r>
            <w:r>
              <w:rPr>
                <w:rFonts w:hint="eastAsia"/>
                <w:color w:val="auto"/>
                <w:sz w:val="24"/>
                <w:highlight w:val="none"/>
                <w:lang w:val="en-US" w:eastAsia="zh-CN"/>
              </w:rPr>
              <w:t>乔木</w:t>
            </w:r>
            <w:r>
              <w:rPr>
                <w:rFonts w:hint="eastAsia"/>
                <w:color w:val="auto"/>
                <w:sz w:val="24"/>
                <w:highlight w:val="none"/>
              </w:rPr>
              <w:t>植被以</w:t>
            </w:r>
            <w:r>
              <w:rPr>
                <w:rFonts w:hint="eastAsia"/>
                <w:color w:val="auto"/>
                <w:sz w:val="24"/>
                <w:highlight w:val="none"/>
                <w:lang w:val="en-US" w:eastAsia="zh-CN"/>
              </w:rPr>
              <w:t>蓝花楹、木棉、榕树、洋紫荆等</w:t>
            </w:r>
            <w:r>
              <w:rPr>
                <w:rFonts w:hint="eastAsia"/>
                <w:color w:val="auto"/>
                <w:sz w:val="24"/>
                <w:highlight w:val="none"/>
              </w:rPr>
              <w:t>为主</w:t>
            </w:r>
            <w:r>
              <w:rPr>
                <w:rFonts w:hint="eastAsia"/>
                <w:color w:val="auto"/>
                <w:sz w:val="24"/>
                <w:highlight w:val="none"/>
                <w:lang w:eastAsia="zh-CN"/>
              </w:rPr>
              <w:t>，</w:t>
            </w:r>
            <w:r>
              <w:rPr>
                <w:rFonts w:hint="eastAsia"/>
                <w:color w:val="auto"/>
                <w:sz w:val="24"/>
                <w:highlight w:val="none"/>
                <w:lang w:val="en-US" w:eastAsia="zh-CN"/>
              </w:rPr>
              <w:t>灌草</w:t>
            </w:r>
            <w:r>
              <w:rPr>
                <w:rFonts w:hint="eastAsia"/>
                <w:color w:val="auto"/>
                <w:sz w:val="24"/>
                <w:highlight w:val="none"/>
              </w:rPr>
              <w:t>植被主要有</w:t>
            </w:r>
            <w:r>
              <w:rPr>
                <w:rFonts w:hint="eastAsia"/>
                <w:color w:val="auto"/>
                <w:sz w:val="24"/>
                <w:highlight w:val="none"/>
                <w:lang w:val="en-US" w:eastAsia="zh-CN"/>
              </w:rPr>
              <w:t>小叶榕、紫竹吊、红花檵木、马尼拉草</w:t>
            </w:r>
            <w:r>
              <w:rPr>
                <w:rFonts w:hint="eastAsia"/>
                <w:color w:val="auto"/>
                <w:sz w:val="24"/>
                <w:highlight w:val="none"/>
              </w:rPr>
              <w:t>等。</w:t>
            </w:r>
          </w:p>
          <w:p w14:paraId="133C89CC">
            <w:pPr>
              <w:spacing w:line="360" w:lineRule="auto"/>
              <w:rPr>
                <w:b/>
                <w:bCs/>
                <w:color w:val="auto"/>
                <w:sz w:val="24"/>
                <w:highlight w:val="none"/>
              </w:rPr>
            </w:pPr>
            <w:r>
              <w:rPr>
                <w:rFonts w:hint="eastAsia"/>
                <w:b/>
                <w:bCs/>
                <w:color w:val="auto"/>
                <w:sz w:val="24"/>
                <w:highlight w:val="none"/>
              </w:rPr>
              <w:t>1.3.3动物</w:t>
            </w:r>
          </w:p>
          <w:p w14:paraId="147F21AA">
            <w:pPr>
              <w:spacing w:line="360" w:lineRule="auto"/>
              <w:ind w:firstLine="480" w:firstLineChars="200"/>
              <w:rPr>
                <w:color w:val="auto"/>
                <w:sz w:val="24"/>
                <w:highlight w:val="none"/>
              </w:rPr>
            </w:pPr>
            <w:r>
              <w:rPr>
                <w:rFonts w:hint="eastAsia"/>
                <w:color w:val="auto"/>
                <w:sz w:val="24"/>
                <w:highlight w:val="none"/>
              </w:rPr>
              <w:t>本项目区域常见的野生动物主要为田鼠、野兔等啮齿类动物以及以麻雀等为代表的鸟类。</w:t>
            </w:r>
          </w:p>
          <w:p w14:paraId="6C3B4654">
            <w:pPr>
              <w:spacing w:line="360" w:lineRule="auto"/>
              <w:rPr>
                <w:b/>
                <w:bCs/>
                <w:color w:val="auto"/>
                <w:sz w:val="24"/>
                <w:highlight w:val="none"/>
              </w:rPr>
            </w:pPr>
            <w:r>
              <w:rPr>
                <w:rFonts w:hint="eastAsia"/>
                <w:b/>
                <w:bCs/>
                <w:color w:val="auto"/>
                <w:sz w:val="24"/>
                <w:highlight w:val="none"/>
              </w:rPr>
              <w:t>1.3.4重点保护野生动植物情况</w:t>
            </w:r>
          </w:p>
          <w:p w14:paraId="390600F9">
            <w:pPr>
              <w:spacing w:line="360" w:lineRule="auto"/>
              <w:ind w:firstLine="480" w:firstLineChars="200"/>
              <w:rPr>
                <w:color w:val="auto"/>
                <w:sz w:val="24"/>
                <w:highlight w:val="none"/>
              </w:rPr>
            </w:pPr>
            <w:r>
              <w:rPr>
                <w:rFonts w:hint="eastAsia"/>
                <w:color w:val="auto"/>
                <w:sz w:val="24"/>
                <w:highlight w:val="none"/>
              </w:rPr>
              <w:t>经查阅相关资料和现场踏勘，本项目生态环境评价范围内未发现有重点保护野生动植物分布。</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8"/>
              <w:gridCol w:w="4360"/>
            </w:tblGrid>
            <w:tr w14:paraId="7401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4" w:hRule="atLeast"/>
                <w:jc w:val="center"/>
              </w:trPr>
              <w:tc>
                <w:tcPr>
                  <w:tcW w:w="2499" w:type="pct"/>
                </w:tcPr>
                <w:p w14:paraId="36601F0F">
                  <w:pPr>
                    <w:jc w:val="center"/>
                    <w:rPr>
                      <w:rFonts w:hint="eastAsia" w:eastAsia="宋体"/>
                      <w:color w:val="auto"/>
                      <w:szCs w:val="21"/>
                      <w:highlight w:val="none"/>
                      <w:lang w:eastAsia="zh-CN"/>
                    </w:rPr>
                  </w:pPr>
                  <w:r>
                    <w:rPr>
                      <w:color w:val="auto"/>
                      <w:sz w:val="21"/>
                      <w:highlight w:val="none"/>
                    </w:rPr>
                    <w:drawing>
                      <wp:inline distT="0" distB="0" distL="114300" distR="114300">
                        <wp:extent cx="2611755" cy="1958340"/>
                        <wp:effectExtent l="0" t="0" r="4445" b="10160"/>
                        <wp:docPr id="4" name="图片 4" descr="IMG_20260703_133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60703_133703"/>
                                <pic:cNvPicPr>
                                  <a:picLocks noChangeAspect="1"/>
                                </pic:cNvPicPr>
                              </pic:nvPicPr>
                              <pic:blipFill>
                                <a:blip r:embed="rId15"/>
                                <a:stretch>
                                  <a:fillRect/>
                                </a:stretch>
                              </pic:blipFill>
                              <pic:spPr>
                                <a:xfrm>
                                  <a:off x="0" y="0"/>
                                  <a:ext cx="2611755" cy="1958340"/>
                                </a:xfrm>
                                <a:prstGeom prst="rect">
                                  <a:avLst/>
                                </a:prstGeom>
                              </pic:spPr>
                            </pic:pic>
                          </a:graphicData>
                        </a:graphic>
                      </wp:inline>
                    </w:drawing>
                  </w:r>
                  <w:r>
                    <w:rPr>
                      <w:color w:val="auto"/>
                      <w:sz w:val="21"/>
                      <w:highlight w:val="none"/>
                    </w:rPr>
                    <mc:AlternateContent>
                      <mc:Choice Requires="wps">
                        <w:drawing>
                          <wp:anchor distT="0" distB="0" distL="114300" distR="114300" simplePos="0" relativeHeight="251661312" behindDoc="0" locked="0" layoutInCell="1" allowOverlap="1">
                            <wp:simplePos x="0" y="0"/>
                            <wp:positionH relativeFrom="column">
                              <wp:posOffset>1375410</wp:posOffset>
                            </wp:positionH>
                            <wp:positionV relativeFrom="paragraph">
                              <wp:posOffset>1099185</wp:posOffset>
                            </wp:positionV>
                            <wp:extent cx="333375" cy="465455"/>
                            <wp:effectExtent l="5080" t="3810" r="17145" b="13335"/>
                            <wp:wrapNone/>
                            <wp:docPr id="20" name="直接连接符 20"/>
                            <wp:cNvGraphicFramePr/>
                            <a:graphic xmlns:a="http://schemas.openxmlformats.org/drawingml/2006/main">
                              <a:graphicData uri="http://schemas.microsoft.com/office/word/2010/wordprocessingShape">
                                <wps:wsp>
                                  <wps:cNvCnPr/>
                                  <wps:spPr>
                                    <a:xfrm flipH="1" flipV="1">
                                      <a:off x="0" y="0"/>
                                      <a:ext cx="333375" cy="465455"/>
                                    </a:xfrm>
                                    <a:prstGeom prst="line">
                                      <a:avLst/>
                                    </a:prstGeom>
                                    <a:ln w="12700" cap="flat" cmpd="sng" algn="ctr">
                                      <a:solidFill>
                                        <a:srgbClr val="FF0000"/>
                                      </a:solidFill>
                                      <a:prstDash val="dash"/>
                                      <a:miter lim="800000"/>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108.3pt;margin-top:86.55pt;height:36.65pt;width:26.25pt;z-index:251661312;mso-width-relative:page;mso-height-relative:page;" filled="f" stroked="t" coordsize="21600,21600" o:gfxdata="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yulQV1wAAAAsBAAAPAAAAAAAAAAEAIAAAACIAAABkcnMvZG93bnJldi54bWxQ&#10;SwECFAAUAAAACACHTuJA2QerfvgBAADLAwAADgAAAAAAAAABACAAAAAmAQAAZHJzL2Uyb0RvYy54&#10;bWxQSwUGAAAAAAYABgBZAQAAkAUAAAAA&#10;">
                            <v:fill on="f" focussize="0,0"/>
                            <v:stroke weight="1pt" color="#FF0000 [3204]" miterlimit="8" joinstyle="miter" dashstyle="dash"/>
                            <v:imagedata o:title=""/>
                            <o:lock v:ext="edit" aspectratio="f"/>
                          </v:line>
                        </w:pict>
                      </mc:Fallback>
                    </mc:AlternateContent>
                  </w:r>
                </w:p>
              </w:tc>
              <w:tc>
                <w:tcPr>
                  <w:tcW w:w="2500" w:type="pct"/>
                </w:tcPr>
                <w:p w14:paraId="20944AAF">
                  <w:pPr>
                    <w:jc w:val="center"/>
                    <w:rPr>
                      <w:rFonts w:hint="eastAsia" w:eastAsia="宋体"/>
                      <w:color w:val="auto"/>
                      <w:szCs w:val="21"/>
                      <w:highlight w:val="none"/>
                      <w:lang w:eastAsia="zh-CN"/>
                    </w:rPr>
                  </w:pPr>
                  <w:r>
                    <w:rPr>
                      <w:color w:val="auto"/>
                      <w:sz w:val="21"/>
                      <w:highlight w:val="none"/>
                    </w:rPr>
                    <mc:AlternateContent>
                      <mc:Choice Requires="wps">
                        <w:drawing>
                          <wp:anchor distT="0" distB="0" distL="114300" distR="114300" simplePos="0" relativeHeight="251662336" behindDoc="0" locked="0" layoutInCell="1" allowOverlap="1">
                            <wp:simplePos x="0" y="0"/>
                            <wp:positionH relativeFrom="column">
                              <wp:posOffset>1223010</wp:posOffset>
                            </wp:positionH>
                            <wp:positionV relativeFrom="paragraph">
                              <wp:posOffset>1141095</wp:posOffset>
                            </wp:positionV>
                            <wp:extent cx="58420" cy="693420"/>
                            <wp:effectExtent l="6350" t="635" r="11430" b="4445"/>
                            <wp:wrapNone/>
                            <wp:docPr id="26" name="直接连接符 26"/>
                            <wp:cNvGraphicFramePr/>
                            <a:graphic xmlns:a="http://schemas.openxmlformats.org/drawingml/2006/main">
                              <a:graphicData uri="http://schemas.microsoft.com/office/word/2010/wordprocessingShape">
                                <wps:wsp>
                                  <wps:cNvCnPr/>
                                  <wps:spPr>
                                    <a:xfrm flipV="1">
                                      <a:off x="0" y="0"/>
                                      <a:ext cx="58420" cy="693420"/>
                                    </a:xfrm>
                                    <a:prstGeom prst="line">
                                      <a:avLst/>
                                    </a:prstGeom>
                                    <a:ln w="12700" cap="flat" cmpd="sng" algn="ctr">
                                      <a:solidFill>
                                        <a:srgbClr val="FF0000"/>
                                      </a:solidFill>
                                      <a:prstDash val="dash"/>
                                      <a:miter lim="800000"/>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96.3pt;margin-top:89.85pt;height:54.6pt;width:4.6pt;z-index:251662336;mso-width-relative:page;mso-height-relative:page;" filled="f" stroked="t" coordsize="21600,21600" o:gfxdata="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jKOOrXAAAACwEAAA8AAAAAAAAAAQAgAAAAIgAAAGRycy9kb3ducmV2LnhtbFBLAQIUABQA&#10;AAAIAIdO4kBrau6a8QEAAMADAAAOAAAAAAAAAAEAIAAAACYBAABkcnMvZTJvRG9jLnhtbFBLBQYA&#10;AAAABgAGAFkBAACJBQAAAAA=&#10;">
                            <v:fill on="f" focussize="0,0"/>
                            <v:stroke weight="1pt" color="#FF0000 [3204]" miterlimit="8" joinstyle="miter" dashstyle="dash"/>
                            <v:imagedata o:title=""/>
                            <o:lock v:ext="edit" aspectratio="f"/>
                          </v:line>
                        </w:pict>
                      </mc:Fallback>
                    </mc:AlternateContent>
                  </w:r>
                  <w:r>
                    <w:rPr>
                      <w:color w:val="auto"/>
                      <w:sz w:val="21"/>
                      <w:highlight w:val="none"/>
                    </w:rPr>
                    <w:drawing>
                      <wp:inline distT="0" distB="0" distL="114300" distR="114300">
                        <wp:extent cx="2600960" cy="1950720"/>
                        <wp:effectExtent l="0" t="0" r="2540" b="5080"/>
                        <wp:docPr id="6" name="图片 6" descr="IMG_20260703_132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0260703_132330"/>
                                <pic:cNvPicPr>
                                  <a:picLocks noChangeAspect="1"/>
                                </pic:cNvPicPr>
                              </pic:nvPicPr>
                              <pic:blipFill>
                                <a:blip r:embed="rId16"/>
                                <a:stretch>
                                  <a:fillRect/>
                                </a:stretch>
                              </pic:blipFill>
                              <pic:spPr>
                                <a:xfrm>
                                  <a:off x="0" y="0"/>
                                  <a:ext cx="2600960" cy="1950720"/>
                                </a:xfrm>
                                <a:prstGeom prst="rect">
                                  <a:avLst/>
                                </a:prstGeom>
                              </pic:spPr>
                            </pic:pic>
                          </a:graphicData>
                        </a:graphic>
                      </wp:inline>
                    </w:drawing>
                  </w:r>
                </w:p>
              </w:tc>
            </w:tr>
            <w:tr w14:paraId="7335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2499" w:type="pct"/>
                  <w:shd w:val="clear" w:color="auto" w:fill="auto"/>
                  <w:vAlign w:val="top"/>
                </w:tcPr>
                <w:p w14:paraId="050670AC">
                  <w:pPr>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电缆</w:t>
                  </w:r>
                  <w:r>
                    <w:rPr>
                      <w:color w:val="auto"/>
                      <w:szCs w:val="21"/>
                      <w:highlight w:val="none"/>
                    </w:rPr>
                    <w:t>线路沿</w:t>
                  </w:r>
                  <w:r>
                    <w:rPr>
                      <w:rFonts w:hint="eastAsia"/>
                      <w:color w:val="auto"/>
                      <w:szCs w:val="21"/>
                      <w:highlight w:val="none"/>
                      <w:lang w:val="en-US" w:eastAsia="zh-CN"/>
                    </w:rPr>
                    <w:t>市政管廊敷设</w:t>
                  </w:r>
                </w:p>
              </w:tc>
              <w:tc>
                <w:tcPr>
                  <w:tcW w:w="2500" w:type="pct"/>
                  <w:shd w:val="clear" w:color="auto" w:fill="auto"/>
                  <w:vAlign w:val="top"/>
                </w:tcPr>
                <w:p w14:paraId="631D398B">
                  <w:pPr>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电缆</w:t>
                  </w:r>
                  <w:r>
                    <w:rPr>
                      <w:color w:val="auto"/>
                      <w:szCs w:val="21"/>
                      <w:highlight w:val="none"/>
                    </w:rPr>
                    <w:t>线路沿</w:t>
                  </w:r>
                  <w:r>
                    <w:rPr>
                      <w:rFonts w:hint="eastAsia"/>
                      <w:color w:val="auto"/>
                      <w:szCs w:val="21"/>
                      <w:highlight w:val="none"/>
                      <w:lang w:val="en-US" w:eastAsia="zh-CN"/>
                    </w:rPr>
                    <w:t>市政管廊敷设</w:t>
                  </w:r>
                </w:p>
              </w:tc>
            </w:tr>
            <w:tr w14:paraId="4D055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2499" w:type="pct"/>
                </w:tcPr>
                <w:p w14:paraId="1F04675A">
                  <w:pPr>
                    <w:jc w:val="center"/>
                    <w:rPr>
                      <w:rFonts w:hint="eastAsia" w:eastAsia="宋体"/>
                      <w:color w:val="auto"/>
                      <w:szCs w:val="21"/>
                      <w:highlight w:val="none"/>
                      <w:lang w:eastAsia="zh-CN"/>
                    </w:rPr>
                  </w:pPr>
                  <w:r>
                    <w:rPr>
                      <w:color w:val="auto"/>
                      <w:sz w:val="21"/>
                      <w:highlight w:val="none"/>
                    </w:rPr>
                    <mc:AlternateContent>
                      <mc:Choice Requires="wps">
                        <w:drawing>
                          <wp:anchor distT="0" distB="0" distL="114300" distR="114300" simplePos="0" relativeHeight="251663360" behindDoc="0" locked="0" layoutInCell="1" allowOverlap="1">
                            <wp:simplePos x="0" y="0"/>
                            <wp:positionH relativeFrom="column">
                              <wp:posOffset>941705</wp:posOffset>
                            </wp:positionH>
                            <wp:positionV relativeFrom="paragraph">
                              <wp:posOffset>950595</wp:posOffset>
                            </wp:positionV>
                            <wp:extent cx="111125" cy="549910"/>
                            <wp:effectExtent l="6350" t="1270" r="9525" b="7620"/>
                            <wp:wrapNone/>
                            <wp:docPr id="11" name="直接连接符 11"/>
                            <wp:cNvGraphicFramePr/>
                            <a:graphic xmlns:a="http://schemas.openxmlformats.org/drawingml/2006/main">
                              <a:graphicData uri="http://schemas.microsoft.com/office/word/2010/wordprocessingShape">
                                <wps:wsp>
                                  <wps:cNvCnPr/>
                                  <wps:spPr>
                                    <a:xfrm flipV="1">
                                      <a:off x="0" y="0"/>
                                      <a:ext cx="111125" cy="549910"/>
                                    </a:xfrm>
                                    <a:prstGeom prst="line">
                                      <a:avLst/>
                                    </a:prstGeom>
                                    <a:ln w="12700" cap="flat" cmpd="sng" algn="ctr">
                                      <a:solidFill>
                                        <a:srgbClr val="FF0000"/>
                                      </a:solidFill>
                                      <a:prstDash val="dash"/>
                                      <a:miter lim="800000"/>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74.15pt;margin-top:74.85pt;height:43.3pt;width:8.75pt;z-index:251663360;mso-width-relative:page;mso-height-relative:page;" filled="f" stroked="t" coordsize="21600,21600" o:gfxdata="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UkWhH1gAAAAsBAAAPAAAAAAAAAAEAIAAAACIAAABkcnMvZG93bnJldi54bWxQSwECFAAU&#10;AAAACACHTuJAMR26APMBAADBAwAADgAAAAAAAAABACAAAAAlAQAAZHJzL2Uyb0RvYy54bWxQSwUG&#10;AAAAAAYABgBZAQAAigUAAAAA&#10;">
                            <v:fill on="f" focussize="0,0"/>
                            <v:stroke weight="1pt" color="#FF0000 [3204]" miterlimit="8" joinstyle="miter" dashstyle="dash"/>
                            <v:imagedata o:title=""/>
                            <o:lock v:ext="edit" aspectratio="f"/>
                          </v:line>
                        </w:pict>
                      </mc:Fallback>
                    </mc:AlternateContent>
                  </w:r>
                  <w:r>
                    <w:rPr>
                      <w:rFonts w:hint="eastAsia" w:eastAsia="宋体"/>
                      <w:color w:val="auto"/>
                      <w:szCs w:val="21"/>
                      <w:highlight w:val="none"/>
                      <w:lang w:eastAsia="zh-CN"/>
                    </w:rPr>
                    <w:drawing>
                      <wp:inline distT="0" distB="0" distL="114300" distR="114300">
                        <wp:extent cx="2600960" cy="1950720"/>
                        <wp:effectExtent l="0" t="0" r="2540" b="5080"/>
                        <wp:docPr id="8" name="图片 8" descr="IMG_20260703_13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0260703_132720"/>
                                <pic:cNvPicPr>
                                  <a:picLocks noChangeAspect="1"/>
                                </pic:cNvPicPr>
                              </pic:nvPicPr>
                              <pic:blipFill>
                                <a:blip r:embed="rId17"/>
                                <a:stretch>
                                  <a:fillRect/>
                                </a:stretch>
                              </pic:blipFill>
                              <pic:spPr>
                                <a:xfrm>
                                  <a:off x="0" y="0"/>
                                  <a:ext cx="2600960" cy="1950720"/>
                                </a:xfrm>
                                <a:prstGeom prst="rect">
                                  <a:avLst/>
                                </a:prstGeom>
                              </pic:spPr>
                            </pic:pic>
                          </a:graphicData>
                        </a:graphic>
                      </wp:inline>
                    </w:drawing>
                  </w:r>
                </w:p>
              </w:tc>
              <w:tc>
                <w:tcPr>
                  <w:tcW w:w="2500" w:type="pct"/>
                </w:tcPr>
                <w:p w14:paraId="06FDADE8">
                  <w:pPr>
                    <w:jc w:val="center"/>
                    <w:rPr>
                      <w:rFonts w:hint="eastAsia" w:eastAsia="宋体"/>
                      <w:color w:val="auto"/>
                      <w:szCs w:val="21"/>
                      <w:highlight w:val="none"/>
                      <w:lang w:eastAsia="zh-CN"/>
                    </w:rPr>
                  </w:pPr>
                  <w:r>
                    <w:rPr>
                      <w:color w:val="auto"/>
                      <w:sz w:val="21"/>
                      <w:highlight w:val="none"/>
                    </w:rPr>
                    <mc:AlternateContent>
                      <mc:Choice Requires="wps">
                        <w:drawing>
                          <wp:anchor distT="0" distB="0" distL="114300" distR="114300" simplePos="0" relativeHeight="251664384" behindDoc="0" locked="0" layoutInCell="1" allowOverlap="1">
                            <wp:simplePos x="0" y="0"/>
                            <wp:positionH relativeFrom="column">
                              <wp:posOffset>863600</wp:posOffset>
                            </wp:positionH>
                            <wp:positionV relativeFrom="paragraph">
                              <wp:posOffset>1140460</wp:posOffset>
                            </wp:positionV>
                            <wp:extent cx="52705" cy="537210"/>
                            <wp:effectExtent l="6350" t="0" r="17145" b="8890"/>
                            <wp:wrapNone/>
                            <wp:docPr id="16" name="直接连接符 16"/>
                            <wp:cNvGraphicFramePr/>
                            <a:graphic xmlns:a="http://schemas.openxmlformats.org/drawingml/2006/main">
                              <a:graphicData uri="http://schemas.microsoft.com/office/word/2010/wordprocessingShape">
                                <wps:wsp>
                                  <wps:cNvCnPr/>
                                  <wps:spPr>
                                    <a:xfrm flipV="1">
                                      <a:off x="0" y="0"/>
                                      <a:ext cx="52705" cy="537210"/>
                                    </a:xfrm>
                                    <a:prstGeom prst="line">
                                      <a:avLst/>
                                    </a:prstGeom>
                                    <a:ln w="12700" cap="flat" cmpd="sng" algn="ctr">
                                      <a:solidFill>
                                        <a:srgbClr val="FF0000"/>
                                      </a:solidFill>
                                      <a:prstDash val="dash"/>
                                      <a:miter lim="800000"/>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68pt;margin-top:89.8pt;height:42.3pt;width:4.15pt;z-index:251664384;mso-width-relative:page;mso-height-relative:page;" filled="f" stroked="t" coordsize="21600,21600" o:gfxdata="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C5bufHYAAAACwEAAA8AAAAAAAAAAQAgAAAAIgAAAGRycy9kb3ducmV2LnhtbFBLAQIU&#10;ABQAAAAIAIdO4kBmHPO18wEAAMADAAAOAAAAAAAAAAEAIAAAACcBAABkcnMvZTJvRG9jLnhtbFBL&#10;BQYAAAAABgAGAFkBAACMBQAAAAA=&#10;">
                            <v:fill on="f" focussize="0,0"/>
                            <v:stroke weight="1pt" color="#FF0000 [3204]" miterlimit="8" joinstyle="miter" dashstyle="dash"/>
                            <v:imagedata o:title=""/>
                            <o:lock v:ext="edit" aspectratio="f"/>
                          </v:line>
                        </w:pict>
                      </mc:Fallback>
                    </mc:AlternateContent>
                  </w:r>
                  <w:r>
                    <w:rPr>
                      <w:rFonts w:hint="eastAsia" w:eastAsia="宋体"/>
                      <w:color w:val="auto"/>
                      <w:szCs w:val="21"/>
                      <w:highlight w:val="none"/>
                      <w:lang w:eastAsia="zh-CN"/>
                    </w:rPr>
                    <w:drawing>
                      <wp:inline distT="0" distB="0" distL="114300" distR="114300">
                        <wp:extent cx="2600960" cy="1950720"/>
                        <wp:effectExtent l="0" t="0" r="2540" b="5080"/>
                        <wp:docPr id="15" name="图片 15" descr="IMG_20260111_162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0260111_162111"/>
                                <pic:cNvPicPr>
                                  <a:picLocks noChangeAspect="1"/>
                                </pic:cNvPicPr>
                              </pic:nvPicPr>
                              <pic:blipFill>
                                <a:blip r:embed="rId18"/>
                                <a:stretch>
                                  <a:fillRect/>
                                </a:stretch>
                              </pic:blipFill>
                              <pic:spPr>
                                <a:xfrm>
                                  <a:off x="0" y="0"/>
                                  <a:ext cx="2600960" cy="1950720"/>
                                </a:xfrm>
                                <a:prstGeom prst="rect">
                                  <a:avLst/>
                                </a:prstGeom>
                              </pic:spPr>
                            </pic:pic>
                          </a:graphicData>
                        </a:graphic>
                      </wp:inline>
                    </w:drawing>
                  </w:r>
                </w:p>
              </w:tc>
            </w:tr>
            <w:tr w14:paraId="45CF8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2499" w:type="pct"/>
                </w:tcPr>
                <w:p w14:paraId="3CA0FD0A">
                  <w:pPr>
                    <w:jc w:val="center"/>
                    <w:rPr>
                      <w:color w:val="auto"/>
                      <w:szCs w:val="21"/>
                      <w:highlight w:val="none"/>
                    </w:rPr>
                  </w:pPr>
                  <w:r>
                    <w:rPr>
                      <w:rFonts w:hint="eastAsia"/>
                      <w:color w:val="auto"/>
                      <w:szCs w:val="21"/>
                      <w:highlight w:val="none"/>
                      <w:lang w:val="en-US" w:eastAsia="zh-CN"/>
                    </w:rPr>
                    <w:t>电缆</w:t>
                  </w:r>
                  <w:r>
                    <w:rPr>
                      <w:color w:val="auto"/>
                      <w:szCs w:val="21"/>
                      <w:highlight w:val="none"/>
                    </w:rPr>
                    <w:t>线路沿</w:t>
                  </w:r>
                  <w:r>
                    <w:rPr>
                      <w:rFonts w:hint="eastAsia"/>
                      <w:color w:val="auto"/>
                      <w:szCs w:val="21"/>
                      <w:highlight w:val="none"/>
                      <w:lang w:val="en-US" w:eastAsia="zh-CN"/>
                    </w:rPr>
                    <w:t>市政管廊敷设</w:t>
                  </w:r>
                </w:p>
              </w:tc>
              <w:tc>
                <w:tcPr>
                  <w:tcW w:w="2500" w:type="pct"/>
                </w:tcPr>
                <w:p w14:paraId="07182EFF">
                  <w:pPr>
                    <w:jc w:val="center"/>
                    <w:rPr>
                      <w:color w:val="auto"/>
                      <w:szCs w:val="21"/>
                      <w:highlight w:val="none"/>
                    </w:rPr>
                  </w:pPr>
                  <w:r>
                    <w:rPr>
                      <w:rFonts w:hint="eastAsia"/>
                      <w:color w:val="auto"/>
                      <w:szCs w:val="21"/>
                      <w:highlight w:val="none"/>
                      <w:lang w:val="en-US" w:eastAsia="zh-CN"/>
                    </w:rPr>
                    <w:t>电缆</w:t>
                  </w:r>
                  <w:r>
                    <w:rPr>
                      <w:color w:val="auto"/>
                      <w:szCs w:val="21"/>
                      <w:highlight w:val="none"/>
                    </w:rPr>
                    <w:t>线路沿</w:t>
                  </w:r>
                  <w:r>
                    <w:rPr>
                      <w:rFonts w:hint="eastAsia"/>
                      <w:color w:val="auto"/>
                      <w:szCs w:val="21"/>
                      <w:highlight w:val="none"/>
                      <w:lang w:val="en-US" w:eastAsia="zh-CN"/>
                    </w:rPr>
                    <w:t>市政管廊敷设</w:t>
                  </w:r>
                </w:p>
              </w:tc>
            </w:tr>
            <w:tr w14:paraId="73776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2499" w:type="pct"/>
                </w:tcPr>
                <w:p w14:paraId="65752647">
                  <w:pPr>
                    <w:jc w:val="center"/>
                    <w:rPr>
                      <w:rFonts w:hint="eastAsia" w:eastAsia="宋体"/>
                      <w:color w:val="auto"/>
                      <w:szCs w:val="21"/>
                      <w:highlight w:val="none"/>
                      <w:lang w:eastAsia="zh-CN"/>
                    </w:rPr>
                  </w:pPr>
                  <w:r>
                    <w:rPr>
                      <w:color w:val="auto"/>
                      <w:sz w:val="21"/>
                      <w:highlight w:val="none"/>
                    </w:rPr>
                    <mc:AlternateContent>
                      <mc:Choice Requires="wps">
                        <w:drawing>
                          <wp:anchor distT="0" distB="0" distL="114300" distR="114300" simplePos="0" relativeHeight="251666432" behindDoc="0" locked="0" layoutInCell="1" allowOverlap="1">
                            <wp:simplePos x="0" y="0"/>
                            <wp:positionH relativeFrom="column">
                              <wp:posOffset>1002030</wp:posOffset>
                            </wp:positionH>
                            <wp:positionV relativeFrom="paragraph">
                              <wp:posOffset>1229995</wp:posOffset>
                            </wp:positionV>
                            <wp:extent cx="370840" cy="132080"/>
                            <wp:effectExtent l="1905" t="5715" r="8255" b="14605"/>
                            <wp:wrapNone/>
                            <wp:docPr id="13" name="直接连接符 13"/>
                            <wp:cNvGraphicFramePr/>
                            <a:graphic xmlns:a="http://schemas.openxmlformats.org/drawingml/2006/main">
                              <a:graphicData uri="http://schemas.microsoft.com/office/word/2010/wordprocessingShape">
                                <wps:wsp>
                                  <wps:cNvCnPr/>
                                  <wps:spPr>
                                    <a:xfrm flipV="1">
                                      <a:off x="0" y="0"/>
                                      <a:ext cx="370840" cy="132080"/>
                                    </a:xfrm>
                                    <a:prstGeom prst="line">
                                      <a:avLst/>
                                    </a:prstGeom>
                                    <a:ln w="12700" cap="flat" cmpd="sng" algn="ctr">
                                      <a:solidFill>
                                        <a:srgbClr val="FF0000"/>
                                      </a:solidFill>
                                      <a:prstDash val="dash"/>
                                      <a:miter lim="800000"/>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78.9pt;margin-top:96.85pt;height:10.4pt;width:29.2pt;z-index:251666432;mso-width-relative:page;mso-height-relative:page;" filled="f" stroked="t" coordsize="21600,21600" o:gfxdata="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tIYP9dcAAAALAQAADwAAAAAAAAABACAAAAAiAAAAZHJzL2Rvd25yZXYueG1sUEsBAhQA&#10;FAAAAAgAh07iQFYDCIjzAQAAwQMAAA4AAAAAAAAAAQAgAAAAJgEAAGRycy9lMm9Eb2MueG1sUEsF&#10;BgAAAAAGAAYAWQEAAIsFAAAAAA==&#10;">
                            <v:fill on="f" focussize="0,0"/>
                            <v:stroke weight="1pt" color="#FF0000 [3204]" miterlimit="8" joinstyle="miter" dashstyle="dash"/>
                            <v:imagedata o:title=""/>
                            <o:lock v:ext="edit" aspectratio="f"/>
                          </v:line>
                        </w:pict>
                      </mc:Fallback>
                    </mc:AlternateContent>
                  </w:r>
                  <w:r>
                    <w:rPr>
                      <w:color w:val="auto"/>
                      <w:sz w:val="21"/>
                      <w:highlight w:val="none"/>
                    </w:rPr>
                    <mc:AlternateContent>
                      <mc:Choice Requires="wps">
                        <w:drawing>
                          <wp:anchor distT="0" distB="0" distL="114300" distR="114300" simplePos="0" relativeHeight="251665408" behindDoc="0" locked="0" layoutInCell="1" allowOverlap="1">
                            <wp:simplePos x="0" y="0"/>
                            <wp:positionH relativeFrom="column">
                              <wp:posOffset>1457325</wp:posOffset>
                            </wp:positionH>
                            <wp:positionV relativeFrom="paragraph">
                              <wp:posOffset>123190</wp:posOffset>
                            </wp:positionV>
                            <wp:extent cx="914400" cy="459105"/>
                            <wp:effectExtent l="0" t="0" r="0" b="0"/>
                            <wp:wrapNone/>
                            <wp:docPr id="12" name="文本框 12"/>
                            <wp:cNvGraphicFramePr/>
                            <a:graphic xmlns:a="http://schemas.openxmlformats.org/drawingml/2006/main">
                              <a:graphicData uri="http://schemas.microsoft.com/office/word/2010/wordprocessingShape">
                                <wps:wsp>
                                  <wps:cNvSpPr txBox="1"/>
                                  <wps:spPr>
                                    <a:xfrm>
                                      <a:off x="2211705" y="6247130"/>
                                      <a:ext cx="914400" cy="4591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722D42">
                                        <w:pPr>
                                          <w:rPr>
                                            <w:color w:val="FF0000"/>
                                            <w:sz w:val="21"/>
                                            <w:szCs w:val="21"/>
                                          </w:rPr>
                                        </w:pPr>
                                        <w:r>
                                          <w:rPr>
                                            <w:rFonts w:hint="default" w:ascii="Times New Roman" w:hAnsi="Times New Roman" w:cs="Times New Roman"/>
                                            <w:color w:val="FF0000"/>
                                            <w:sz w:val="21"/>
                                            <w:szCs w:val="21"/>
                                            <w:highlight w:val="none"/>
                                          </w:rPr>
                                          <w:t>110kV柳黄北茅线#18塔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4.75pt;margin-top:9.7pt;height:36.15pt;width:72pt;z-index:251665408;mso-width-relative:page;mso-height-relative:page;" filled="f" stroked="f" coordsize="21600,21600" o:gfxdata="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LC93C/bAAAACQEAAA8AAAAAAAAAAQAg&#10;AAAAIgAAAGRycy9kb3ducmV2LnhtbFBLAQIUABQAAAAIAIdO4kDocmv7RAIAAHMEAAAOAAAAAAAA&#10;AAEAIAAAACoBAABkcnMvZTJvRG9jLnhtbFBLBQYAAAAABgAGAFkBAADgBQAAAAA=&#10;">
                            <v:fill on="f" focussize="0,0"/>
                            <v:stroke on="f" weight="0.5pt"/>
                            <v:imagedata o:title=""/>
                            <o:lock v:ext="edit" aspectratio="f"/>
                            <v:textbox>
                              <w:txbxContent>
                                <w:p w14:paraId="21722D42">
                                  <w:pPr>
                                    <w:rPr>
                                      <w:color w:val="FF0000"/>
                                      <w:sz w:val="21"/>
                                      <w:szCs w:val="21"/>
                                    </w:rPr>
                                  </w:pPr>
                                  <w:r>
                                    <w:rPr>
                                      <w:rFonts w:hint="default" w:ascii="Times New Roman" w:hAnsi="Times New Roman" w:cs="Times New Roman"/>
                                      <w:color w:val="FF0000"/>
                                      <w:sz w:val="21"/>
                                      <w:szCs w:val="21"/>
                                      <w:highlight w:val="none"/>
                                    </w:rPr>
                                    <w:t>110kV柳黄北茅线#18塔</w:t>
                                  </w:r>
                                </w:p>
                              </w:txbxContent>
                            </v:textbox>
                          </v:shape>
                        </w:pict>
                      </mc:Fallback>
                    </mc:AlternateContent>
                  </w:r>
                  <w:r>
                    <w:rPr>
                      <w:rFonts w:hint="eastAsia" w:eastAsia="宋体"/>
                      <w:color w:val="auto"/>
                      <w:szCs w:val="21"/>
                      <w:highlight w:val="none"/>
                      <w:lang w:eastAsia="zh-CN"/>
                    </w:rPr>
                    <w:drawing>
                      <wp:inline distT="0" distB="0" distL="114300" distR="114300">
                        <wp:extent cx="2611755" cy="1958340"/>
                        <wp:effectExtent l="0" t="0" r="4445" b="10160"/>
                        <wp:docPr id="17" name="图片 17" descr="IMG_20260111_161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0260111_161906"/>
                                <pic:cNvPicPr>
                                  <a:picLocks noChangeAspect="1"/>
                                </pic:cNvPicPr>
                              </pic:nvPicPr>
                              <pic:blipFill>
                                <a:blip r:embed="rId19"/>
                                <a:stretch>
                                  <a:fillRect/>
                                </a:stretch>
                              </pic:blipFill>
                              <pic:spPr>
                                <a:xfrm>
                                  <a:off x="0" y="0"/>
                                  <a:ext cx="2611755" cy="1958340"/>
                                </a:xfrm>
                                <a:prstGeom prst="rect">
                                  <a:avLst/>
                                </a:prstGeom>
                              </pic:spPr>
                            </pic:pic>
                          </a:graphicData>
                        </a:graphic>
                      </wp:inline>
                    </w:drawing>
                  </w:r>
                </w:p>
              </w:tc>
              <w:tc>
                <w:tcPr>
                  <w:tcW w:w="2500" w:type="pct"/>
                </w:tcPr>
                <w:p w14:paraId="5A4A67A7">
                  <w:pPr>
                    <w:jc w:val="center"/>
                    <w:rPr>
                      <w:rFonts w:hint="eastAsia" w:eastAsia="宋体"/>
                      <w:color w:val="auto"/>
                      <w:szCs w:val="21"/>
                      <w:highlight w:val="none"/>
                      <w:lang w:eastAsia="zh-CN"/>
                    </w:rPr>
                  </w:pPr>
                  <w:r>
                    <w:rPr>
                      <w:color w:val="auto"/>
                      <w:sz w:val="21"/>
                      <w:highlight w:val="none"/>
                    </w:rPr>
                    <mc:AlternateContent>
                      <mc:Choice Requires="wps">
                        <w:drawing>
                          <wp:anchor distT="0" distB="0" distL="114300" distR="114300" simplePos="0" relativeHeight="251667456" behindDoc="0" locked="0" layoutInCell="1" allowOverlap="1">
                            <wp:simplePos x="0" y="0"/>
                            <wp:positionH relativeFrom="column">
                              <wp:posOffset>1018540</wp:posOffset>
                            </wp:positionH>
                            <wp:positionV relativeFrom="paragraph">
                              <wp:posOffset>1314450</wp:posOffset>
                            </wp:positionV>
                            <wp:extent cx="280035" cy="21590"/>
                            <wp:effectExtent l="635" t="6350" r="11430" b="10160"/>
                            <wp:wrapNone/>
                            <wp:docPr id="14" name="直接连接符 14"/>
                            <wp:cNvGraphicFramePr/>
                            <a:graphic xmlns:a="http://schemas.openxmlformats.org/drawingml/2006/main">
                              <a:graphicData uri="http://schemas.microsoft.com/office/word/2010/wordprocessingShape">
                                <wps:wsp>
                                  <wps:cNvCnPr/>
                                  <wps:spPr>
                                    <a:xfrm>
                                      <a:off x="0" y="0"/>
                                      <a:ext cx="280035" cy="21590"/>
                                    </a:xfrm>
                                    <a:prstGeom prst="line">
                                      <a:avLst/>
                                    </a:prstGeom>
                                    <a:ln w="12700" cap="flat" cmpd="sng" algn="ctr">
                                      <a:solidFill>
                                        <a:srgbClr val="FF0000"/>
                                      </a:solidFill>
                                      <a:prstDash val="dash"/>
                                      <a:miter lim="800000"/>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80.2pt;margin-top:103.5pt;height:1.7pt;width:22.05pt;z-index:251667456;mso-width-relative:page;mso-height-relative:page;" filled="f" stroked="t" coordsize="21600,21600" o:gfxdata="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Biex&#10;h9UAAAALAQAADwAAAAAAAAABACAAAAAiAAAAZHJzL2Rvd25yZXYueG1sUEsBAhQAFAAAAAgAh07i&#10;QFWagdTsAQAAtgMAAA4AAAAAAAAAAQAgAAAAJAEAAGRycy9lMm9Eb2MueG1sUEsFBgAAAAAGAAYA&#10;WQEAAIIFAAAAAA==&#10;">
                            <v:fill on="f" focussize="0,0"/>
                            <v:stroke weight="1pt" color="#FF0000 [3204]" miterlimit="8" joinstyle="miter" dashstyle="dash"/>
                            <v:imagedata o:title=""/>
                            <o:lock v:ext="edit" aspectratio="f"/>
                          </v:line>
                        </w:pict>
                      </mc:Fallback>
                    </mc:AlternateContent>
                  </w:r>
                  <w:r>
                    <w:rPr>
                      <w:rFonts w:hint="eastAsia" w:eastAsia="宋体"/>
                      <w:color w:val="auto"/>
                      <w:szCs w:val="21"/>
                      <w:highlight w:val="none"/>
                      <w:lang w:eastAsia="zh-CN"/>
                    </w:rPr>
                    <w:drawing>
                      <wp:inline distT="0" distB="0" distL="114300" distR="114300">
                        <wp:extent cx="2611755" cy="1958340"/>
                        <wp:effectExtent l="0" t="0" r="4445" b="10160"/>
                        <wp:docPr id="18" name="图片 18" descr="IMG_20260703_14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0260703_140106"/>
                                <pic:cNvPicPr>
                                  <a:picLocks noChangeAspect="1"/>
                                </pic:cNvPicPr>
                              </pic:nvPicPr>
                              <pic:blipFill>
                                <a:blip r:embed="rId20"/>
                                <a:stretch>
                                  <a:fillRect/>
                                </a:stretch>
                              </pic:blipFill>
                              <pic:spPr>
                                <a:xfrm>
                                  <a:off x="0" y="0"/>
                                  <a:ext cx="2611755" cy="1958340"/>
                                </a:xfrm>
                                <a:prstGeom prst="rect">
                                  <a:avLst/>
                                </a:prstGeom>
                              </pic:spPr>
                            </pic:pic>
                          </a:graphicData>
                        </a:graphic>
                      </wp:inline>
                    </w:drawing>
                  </w:r>
                </w:p>
              </w:tc>
            </w:tr>
            <w:tr w14:paraId="5FA7B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2499" w:type="pct"/>
                </w:tcPr>
                <w:p w14:paraId="46BD3C2D">
                  <w:pPr>
                    <w:jc w:val="center"/>
                    <w:rPr>
                      <w:rFonts w:hint="default"/>
                      <w:color w:val="auto"/>
                      <w:szCs w:val="21"/>
                      <w:highlight w:val="none"/>
                      <w:lang w:val="en-US"/>
                    </w:rPr>
                  </w:pPr>
                  <w:r>
                    <w:rPr>
                      <w:rFonts w:hint="eastAsia"/>
                      <w:color w:val="auto"/>
                      <w:szCs w:val="21"/>
                      <w:highlight w:val="none"/>
                      <w:lang w:val="en-US" w:eastAsia="zh-CN"/>
                    </w:rPr>
                    <w:t>T接线路终端塔</w:t>
                  </w:r>
                </w:p>
              </w:tc>
              <w:tc>
                <w:tcPr>
                  <w:tcW w:w="2500" w:type="pct"/>
                </w:tcPr>
                <w:p w14:paraId="64BA71AC">
                  <w:pPr>
                    <w:jc w:val="center"/>
                    <w:rPr>
                      <w:rFonts w:hint="default" w:eastAsia="宋体"/>
                      <w:color w:val="auto"/>
                      <w:szCs w:val="21"/>
                      <w:highlight w:val="none"/>
                      <w:lang w:val="en-US" w:eastAsia="zh-CN"/>
                    </w:rPr>
                  </w:pPr>
                  <w:r>
                    <w:rPr>
                      <w:rFonts w:hint="eastAsia"/>
                      <w:color w:val="auto"/>
                      <w:szCs w:val="21"/>
                      <w:highlight w:val="none"/>
                      <w:lang w:val="en-US" w:eastAsia="zh-CN"/>
                    </w:rPr>
                    <w:t>河北站内调整黄村变接线方式</w:t>
                  </w:r>
                </w:p>
              </w:tc>
            </w:tr>
          </w:tbl>
          <w:p w14:paraId="41771AE2">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 xml:space="preserve">  本项目沿线地形地貌</w:t>
            </w:r>
          </w:p>
          <w:p w14:paraId="114F150A">
            <w:pPr>
              <w:spacing w:line="360" w:lineRule="auto"/>
              <w:rPr>
                <w:color w:val="auto"/>
                <w:sz w:val="24"/>
                <w:highlight w:val="none"/>
              </w:rPr>
            </w:pPr>
            <w:r>
              <w:rPr>
                <w:b/>
                <w:bCs/>
                <w:color w:val="auto"/>
                <w:sz w:val="24"/>
                <w:highlight w:val="none"/>
              </w:rPr>
              <w:t>2.地表水环境</w:t>
            </w:r>
          </w:p>
          <w:p w14:paraId="64D6F351">
            <w:pPr>
              <w:spacing w:line="360" w:lineRule="auto"/>
              <w:ind w:firstLine="480" w:firstLineChars="200"/>
              <w:rPr>
                <w:rFonts w:hint="eastAsia"/>
                <w:color w:val="auto"/>
                <w:kern w:val="0"/>
                <w:sz w:val="24"/>
                <w:szCs w:val="24"/>
                <w:highlight w:val="none"/>
              </w:rPr>
            </w:pPr>
            <w:r>
              <w:rPr>
                <w:rFonts w:ascii="Times New Roman" w:hAnsi="Times New Roman" w:eastAsia="宋体" w:cs="Times New Roman"/>
                <w:color w:val="auto"/>
                <w:sz w:val="24"/>
                <w:highlight w:val="none"/>
              </w:rPr>
              <w:t>根据《</w:t>
            </w:r>
            <w:r>
              <w:rPr>
                <w:rFonts w:hint="eastAsia" w:cs="Times New Roman"/>
                <w:color w:val="auto"/>
                <w:sz w:val="24"/>
                <w:highlight w:val="none"/>
                <w:lang w:eastAsia="zh-CN"/>
              </w:rPr>
              <w:t>2025年柳州市生态环境状况公报</w:t>
            </w:r>
            <w:r>
              <w:rPr>
                <w:rFonts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eastAsia="zh-CN"/>
              </w:rPr>
              <w:t>，</w:t>
            </w:r>
            <w:r>
              <w:rPr>
                <w:rFonts w:ascii="Times New Roman" w:hAnsi="Times New Roman" w:eastAsia="宋体" w:cs="Times New Roman"/>
                <w:color w:val="auto"/>
                <w:sz w:val="24"/>
                <w:highlight w:val="none"/>
              </w:rPr>
              <w:t>202</w:t>
            </w:r>
            <w:r>
              <w:rPr>
                <w:rFonts w:hint="eastAsia" w:cs="Times New Roman"/>
                <w:color w:val="auto"/>
                <w:sz w:val="24"/>
                <w:highlight w:val="none"/>
                <w:lang w:val="en-US" w:eastAsia="zh-CN"/>
              </w:rPr>
              <w:t>5</w:t>
            </w:r>
            <w:r>
              <w:rPr>
                <w:rFonts w:ascii="Times New Roman" w:hAnsi="Times New Roman" w:eastAsia="宋体" w:cs="Times New Roman"/>
                <w:color w:val="auto"/>
                <w:sz w:val="24"/>
                <w:highlight w:val="none"/>
              </w:rPr>
              <w:t>年，</w:t>
            </w:r>
            <w:r>
              <w:rPr>
                <w:rFonts w:hint="eastAsia" w:ascii="Times New Roman" w:hAnsi="Times New Roman" w:eastAsia="宋体" w:cs="Times New Roman"/>
                <w:color w:val="auto"/>
                <w:sz w:val="24"/>
                <w:highlight w:val="none"/>
              </w:rPr>
              <w:t>柳州市18个断面水质年均评价均达到或优于GB</w:t>
            </w:r>
            <w:r>
              <w:rPr>
                <w:rFonts w:hint="eastAsia" w:cs="Times New Roman"/>
                <w:color w:val="auto"/>
                <w:sz w:val="24"/>
                <w:highlight w:val="none"/>
                <w:lang w:val="en-US" w:eastAsia="zh-CN"/>
              </w:rPr>
              <w:t xml:space="preserve"> </w:t>
            </w:r>
            <w:r>
              <w:rPr>
                <w:rFonts w:hint="eastAsia" w:ascii="Times New Roman" w:hAnsi="Times New Roman" w:eastAsia="宋体" w:cs="Times New Roman"/>
                <w:color w:val="auto"/>
                <w:sz w:val="24"/>
                <w:highlight w:val="none"/>
              </w:rPr>
              <w:t>3838-2002《地表水环境质量标准》I1类水质标准。其中10个国控断面中，年均评价为|类水质的断面6个、I1类水质的断面4个。</w:t>
            </w:r>
          </w:p>
          <w:p w14:paraId="14940D00">
            <w:pPr>
              <w:spacing w:line="360" w:lineRule="auto"/>
              <w:ind w:firstLine="480" w:firstLineChars="200"/>
              <w:rPr>
                <w:rFonts w:hint="eastAsia"/>
                <w:color w:val="auto"/>
                <w:sz w:val="24"/>
                <w:highlight w:val="none"/>
                <w:lang w:val="en-US" w:eastAsia="zh-CN"/>
              </w:rPr>
            </w:pPr>
            <w:r>
              <w:rPr>
                <w:rFonts w:hint="eastAsia"/>
                <w:color w:val="auto"/>
                <w:kern w:val="0"/>
                <w:sz w:val="24"/>
                <w:szCs w:val="24"/>
                <w:highlight w:val="none"/>
              </w:rPr>
              <w:t>根据现场踏勘，本项目不跨越段地表水体，周边地表水体为</w:t>
            </w:r>
            <w:r>
              <w:rPr>
                <w:rFonts w:hint="eastAsia"/>
                <w:color w:val="auto"/>
                <w:kern w:val="0"/>
                <w:sz w:val="24"/>
                <w:szCs w:val="24"/>
                <w:highlight w:val="none"/>
                <w:lang w:val="en-US" w:eastAsia="zh-CN"/>
              </w:rPr>
              <w:t>柳江</w:t>
            </w:r>
            <w:r>
              <w:rPr>
                <w:rFonts w:hint="eastAsia"/>
                <w:color w:val="auto"/>
                <w:kern w:val="0"/>
                <w:sz w:val="24"/>
                <w:szCs w:val="24"/>
                <w:highlight w:val="none"/>
              </w:rPr>
              <w:t>，不涉及饮用水水源保护区。</w:t>
            </w:r>
          </w:p>
          <w:p w14:paraId="3005009A">
            <w:pPr>
              <w:spacing w:line="360" w:lineRule="auto"/>
              <w:rPr>
                <w:b/>
                <w:bCs/>
                <w:color w:val="auto"/>
                <w:sz w:val="24"/>
                <w:highlight w:val="none"/>
              </w:rPr>
            </w:pPr>
            <w:r>
              <w:rPr>
                <w:b/>
                <w:bCs/>
                <w:color w:val="auto"/>
                <w:sz w:val="24"/>
                <w:highlight w:val="none"/>
              </w:rPr>
              <w:t>3.</w:t>
            </w:r>
            <w:r>
              <w:rPr>
                <w:rFonts w:hint="eastAsia"/>
                <w:b/>
                <w:bCs/>
                <w:color w:val="auto"/>
                <w:sz w:val="24"/>
                <w:highlight w:val="none"/>
              </w:rPr>
              <w:t>大气环境现状</w:t>
            </w:r>
          </w:p>
          <w:p w14:paraId="5DA1A8EC">
            <w:pPr>
              <w:spacing w:line="360" w:lineRule="auto"/>
              <w:ind w:firstLine="480" w:firstLineChars="200"/>
              <w:rPr>
                <w:rFonts w:hint="default"/>
                <w:color w:val="auto"/>
                <w:sz w:val="24"/>
                <w:highlight w:val="none"/>
                <w:lang w:val="en-US" w:eastAsia="zh-CN"/>
              </w:rPr>
            </w:pPr>
            <w:r>
              <w:rPr>
                <w:rFonts w:hint="eastAsia"/>
                <w:color w:val="auto"/>
                <w:sz w:val="24"/>
                <w:highlight w:val="none"/>
              </w:rPr>
              <w:t>根据</w:t>
            </w:r>
            <w:r>
              <w:rPr>
                <w:rFonts w:hint="eastAsia"/>
                <w:color w:val="auto"/>
                <w:sz w:val="24"/>
                <w:highlight w:val="none"/>
                <w:lang w:eastAsia="zh-CN"/>
              </w:rPr>
              <w:t>柳州市</w:t>
            </w:r>
            <w:r>
              <w:rPr>
                <w:rFonts w:hint="eastAsia"/>
                <w:color w:val="auto"/>
                <w:sz w:val="24"/>
                <w:highlight w:val="none"/>
              </w:rPr>
              <w:t>生态环境局公布的</w:t>
            </w:r>
            <w:r>
              <w:rPr>
                <w:color w:val="auto"/>
                <w:sz w:val="24"/>
                <w:highlight w:val="none"/>
              </w:rPr>
              <w:t>《</w:t>
            </w:r>
            <w:r>
              <w:rPr>
                <w:rFonts w:hint="eastAsia"/>
                <w:color w:val="auto"/>
                <w:sz w:val="24"/>
                <w:highlight w:val="none"/>
                <w:lang w:eastAsia="zh-CN"/>
              </w:rPr>
              <w:t>2025年柳州市生态环境状况公报</w:t>
            </w:r>
            <w:r>
              <w:rPr>
                <w:color w:val="auto"/>
                <w:sz w:val="24"/>
                <w:highlight w:val="none"/>
              </w:rPr>
              <w:t>》</w:t>
            </w:r>
            <w:r>
              <w:rPr>
                <w:rFonts w:hint="eastAsia"/>
                <w:color w:val="auto"/>
                <w:sz w:val="24"/>
                <w:highlight w:val="none"/>
              </w:rPr>
              <w:t>，</w:t>
            </w:r>
            <w:r>
              <w:rPr>
                <w:rFonts w:hint="eastAsia"/>
                <w:color w:val="auto"/>
                <w:sz w:val="24"/>
                <w:highlight w:val="none"/>
                <w:lang w:val="en-US" w:eastAsia="zh-CN"/>
              </w:rPr>
              <w:t>柳北区环境保护监测站站点二氧化硫（SO</w:t>
            </w:r>
            <w:r>
              <w:rPr>
                <w:rFonts w:hint="eastAsia"/>
                <w:color w:val="auto"/>
                <w:sz w:val="24"/>
                <w:highlight w:val="none"/>
                <w:vertAlign w:val="subscript"/>
                <w:lang w:val="en-US" w:eastAsia="zh-CN"/>
              </w:rPr>
              <w:t>2</w:t>
            </w:r>
            <w:r>
              <w:rPr>
                <w:rFonts w:hint="eastAsia"/>
                <w:color w:val="auto"/>
                <w:sz w:val="24"/>
                <w:highlight w:val="none"/>
                <w:lang w:val="en-US" w:eastAsia="zh-CN"/>
              </w:rPr>
              <w:t>）年均浓度10</w:t>
            </w:r>
            <w:r>
              <w:rPr>
                <w:color w:val="auto"/>
                <w:sz w:val="24"/>
                <w:highlight w:val="none"/>
              </w:rPr>
              <w:t>μg/m</w:t>
            </w:r>
            <w:r>
              <w:rPr>
                <w:color w:val="auto"/>
                <w:sz w:val="24"/>
                <w:highlight w:val="none"/>
                <w:vertAlign w:val="superscript"/>
              </w:rPr>
              <w:t>3</w:t>
            </w:r>
            <w:r>
              <w:rPr>
                <w:rFonts w:hint="eastAsia"/>
                <w:color w:val="auto"/>
                <w:sz w:val="24"/>
                <w:highlight w:val="none"/>
                <w:lang w:val="en-US" w:eastAsia="zh-CN"/>
              </w:rPr>
              <w:t>，二氧化氮（NO</w:t>
            </w:r>
            <w:r>
              <w:rPr>
                <w:rFonts w:hint="eastAsia"/>
                <w:color w:val="auto"/>
                <w:sz w:val="24"/>
                <w:highlight w:val="none"/>
                <w:vertAlign w:val="subscript"/>
                <w:lang w:val="en-US" w:eastAsia="zh-CN"/>
              </w:rPr>
              <w:t>2</w:t>
            </w:r>
            <w:r>
              <w:rPr>
                <w:rFonts w:hint="eastAsia"/>
                <w:color w:val="auto"/>
                <w:sz w:val="24"/>
                <w:highlight w:val="none"/>
                <w:lang w:val="en-US" w:eastAsia="zh-CN"/>
              </w:rPr>
              <w:t>）年均浓度16</w:t>
            </w:r>
            <w:r>
              <w:rPr>
                <w:color w:val="auto"/>
                <w:sz w:val="24"/>
                <w:highlight w:val="none"/>
              </w:rPr>
              <w:t>μg/m</w:t>
            </w:r>
            <w:r>
              <w:rPr>
                <w:color w:val="auto"/>
                <w:sz w:val="24"/>
                <w:highlight w:val="none"/>
                <w:vertAlign w:val="superscript"/>
              </w:rPr>
              <w:t>3</w:t>
            </w:r>
            <w:r>
              <w:rPr>
                <w:rFonts w:hint="eastAsia"/>
                <w:color w:val="auto"/>
                <w:sz w:val="24"/>
                <w:highlight w:val="none"/>
                <w:lang w:val="en-US" w:eastAsia="zh-CN"/>
              </w:rPr>
              <w:t>，可吸入颗粒物（PM</w:t>
            </w:r>
            <w:r>
              <w:rPr>
                <w:rFonts w:hint="eastAsia"/>
                <w:color w:val="auto"/>
                <w:sz w:val="24"/>
                <w:highlight w:val="none"/>
                <w:vertAlign w:val="subscript"/>
                <w:lang w:val="en-US" w:eastAsia="zh-CN"/>
              </w:rPr>
              <w:t>10</w:t>
            </w:r>
            <w:r>
              <w:rPr>
                <w:rFonts w:hint="eastAsia"/>
                <w:color w:val="auto"/>
                <w:sz w:val="24"/>
                <w:highlight w:val="none"/>
                <w:lang w:val="en-US" w:eastAsia="zh-CN"/>
              </w:rPr>
              <w:t>）年均浓度46</w:t>
            </w:r>
            <w:r>
              <w:rPr>
                <w:color w:val="auto"/>
                <w:sz w:val="24"/>
                <w:highlight w:val="none"/>
              </w:rPr>
              <w:t>μg/m</w:t>
            </w:r>
            <w:r>
              <w:rPr>
                <w:color w:val="auto"/>
                <w:sz w:val="24"/>
                <w:highlight w:val="none"/>
                <w:vertAlign w:val="superscript"/>
              </w:rPr>
              <w:t>3</w:t>
            </w:r>
            <w:r>
              <w:rPr>
                <w:rFonts w:hint="eastAsia"/>
                <w:color w:val="auto"/>
                <w:sz w:val="24"/>
                <w:highlight w:val="none"/>
                <w:lang w:val="en-US" w:eastAsia="zh-CN"/>
              </w:rPr>
              <w:t>，细颗粒物（PM</w:t>
            </w:r>
            <w:r>
              <w:rPr>
                <w:rFonts w:hint="eastAsia"/>
                <w:color w:val="auto"/>
                <w:sz w:val="24"/>
                <w:highlight w:val="none"/>
                <w:vertAlign w:val="subscript"/>
                <w:lang w:val="en-US" w:eastAsia="zh-CN"/>
              </w:rPr>
              <w:t>2.5</w:t>
            </w:r>
            <w:r>
              <w:rPr>
                <w:rFonts w:hint="eastAsia"/>
                <w:color w:val="auto"/>
                <w:sz w:val="24"/>
                <w:highlight w:val="none"/>
                <w:lang w:val="en-US" w:eastAsia="zh-CN"/>
              </w:rPr>
              <w:t>）年均浓度28</w:t>
            </w:r>
            <w:r>
              <w:rPr>
                <w:color w:val="auto"/>
                <w:sz w:val="24"/>
                <w:highlight w:val="none"/>
              </w:rPr>
              <w:t>μg/m</w:t>
            </w:r>
            <w:r>
              <w:rPr>
                <w:color w:val="auto"/>
                <w:sz w:val="24"/>
                <w:highlight w:val="none"/>
                <w:vertAlign w:val="superscript"/>
              </w:rPr>
              <w:t>3</w:t>
            </w:r>
            <w:r>
              <w:rPr>
                <w:rFonts w:hint="eastAsia"/>
                <w:color w:val="auto"/>
                <w:sz w:val="24"/>
                <w:highlight w:val="none"/>
                <w:lang w:val="en-US" w:eastAsia="zh-CN"/>
              </w:rPr>
              <w:t>，一氧化碳（CO）24小时平均第95百分位数为1.1m</w:t>
            </w:r>
            <w:r>
              <w:rPr>
                <w:color w:val="auto"/>
                <w:sz w:val="24"/>
                <w:highlight w:val="none"/>
              </w:rPr>
              <w:t>g/m</w:t>
            </w:r>
            <w:r>
              <w:rPr>
                <w:color w:val="auto"/>
                <w:sz w:val="24"/>
                <w:highlight w:val="none"/>
                <w:vertAlign w:val="superscript"/>
              </w:rPr>
              <w:t>3</w:t>
            </w:r>
            <w:r>
              <w:rPr>
                <w:rFonts w:hint="eastAsia"/>
                <w:color w:val="auto"/>
                <w:sz w:val="24"/>
                <w:highlight w:val="none"/>
                <w:lang w:val="en-US" w:eastAsia="zh-CN"/>
              </w:rPr>
              <w:t>，臭氧（O</w:t>
            </w:r>
            <w:r>
              <w:rPr>
                <w:rFonts w:hint="eastAsia"/>
                <w:color w:val="auto"/>
                <w:sz w:val="24"/>
                <w:highlight w:val="none"/>
                <w:vertAlign w:val="subscript"/>
                <w:lang w:val="en-US" w:eastAsia="zh-CN"/>
              </w:rPr>
              <w:t>3</w:t>
            </w:r>
            <w:r>
              <w:rPr>
                <w:rFonts w:hint="eastAsia"/>
                <w:color w:val="auto"/>
                <w:sz w:val="24"/>
                <w:highlight w:val="none"/>
                <w:lang w:val="en-US" w:eastAsia="zh-CN"/>
              </w:rPr>
              <w:t>）日最大8小时滑动平均值第90百分位数为123</w:t>
            </w:r>
            <w:r>
              <w:rPr>
                <w:color w:val="auto"/>
                <w:sz w:val="24"/>
                <w:highlight w:val="none"/>
              </w:rPr>
              <w:t>μg/m</w:t>
            </w:r>
            <w:r>
              <w:rPr>
                <w:color w:val="auto"/>
                <w:sz w:val="24"/>
                <w:highlight w:val="none"/>
                <w:vertAlign w:val="superscript"/>
              </w:rPr>
              <w:t>3</w:t>
            </w:r>
            <w:r>
              <w:rPr>
                <w:rFonts w:hint="eastAsia"/>
                <w:color w:val="auto"/>
                <w:sz w:val="24"/>
                <w:highlight w:val="none"/>
                <w:lang w:val="en-US" w:eastAsia="zh-CN"/>
              </w:rPr>
              <w:t>，</w:t>
            </w:r>
            <w:r>
              <w:rPr>
                <w:rFonts w:hint="default"/>
                <w:color w:val="auto"/>
                <w:sz w:val="24"/>
                <w:highlight w:val="none"/>
                <w:lang w:val="en-US" w:eastAsia="zh-CN"/>
              </w:rPr>
              <w:t>均达到GB</w:t>
            </w:r>
            <w:r>
              <w:rPr>
                <w:rFonts w:hint="eastAsia"/>
                <w:color w:val="auto"/>
                <w:sz w:val="24"/>
                <w:highlight w:val="none"/>
                <w:lang w:val="en-US" w:eastAsia="zh-CN"/>
              </w:rPr>
              <w:t xml:space="preserve"> </w:t>
            </w:r>
            <w:r>
              <w:rPr>
                <w:rFonts w:hint="default"/>
                <w:color w:val="auto"/>
                <w:sz w:val="24"/>
                <w:highlight w:val="none"/>
                <w:lang w:val="en-US" w:eastAsia="zh-CN"/>
              </w:rPr>
              <w:t>3095-2012《环境空气质量标准》二级标准要求。</w:t>
            </w:r>
          </w:p>
          <w:p w14:paraId="312ACB81">
            <w:pPr>
              <w:pageBreakBefore w:val="0"/>
              <w:widowControl w:val="0"/>
              <w:kinsoku/>
              <w:wordWrap/>
              <w:overflowPunct/>
              <w:topLinePunct w:val="0"/>
              <w:autoSpaceDE/>
              <w:autoSpaceDN w:val="0"/>
              <w:bidi w:val="0"/>
              <w:adjustRightInd w:val="0"/>
              <w:snapToGrid w:val="0"/>
              <w:spacing w:line="336" w:lineRule="auto"/>
              <w:ind w:firstLine="480" w:firstLineChars="200"/>
              <w:rPr>
                <w:color w:val="auto"/>
                <w:highlight w:val="none"/>
              </w:rPr>
            </w:pPr>
            <w:r>
              <w:rPr>
                <w:rFonts w:hint="eastAsia"/>
                <w:color w:val="auto"/>
                <w:sz w:val="24"/>
                <w:highlight w:val="none"/>
              </w:rPr>
              <w:t>本项目位于</w:t>
            </w:r>
            <w:r>
              <w:rPr>
                <w:rFonts w:hint="eastAsia"/>
                <w:color w:val="auto"/>
                <w:sz w:val="24"/>
                <w:highlight w:val="none"/>
                <w:lang w:val="en-US" w:eastAsia="zh-CN"/>
              </w:rPr>
              <w:t>柳州市柳北区，</w:t>
            </w:r>
            <w:r>
              <w:rPr>
                <w:rFonts w:hint="eastAsia"/>
                <w:color w:val="auto"/>
                <w:sz w:val="24"/>
                <w:highlight w:val="none"/>
              </w:rPr>
              <w:t>项目所在区为环境空气二类功能区</w:t>
            </w:r>
            <w:r>
              <w:rPr>
                <w:rFonts w:hint="eastAsia"/>
                <w:color w:val="auto"/>
                <w:sz w:val="24"/>
                <w:highlight w:val="none"/>
                <w:lang w:eastAsia="zh-CN"/>
              </w:rPr>
              <w:t>。</w:t>
            </w:r>
            <w:r>
              <w:rPr>
                <w:rFonts w:hint="eastAsia"/>
                <w:color w:val="auto"/>
                <w:sz w:val="24"/>
                <w:highlight w:val="none"/>
              </w:rPr>
              <w:t>项目所在区域六项污染物环境质量现状均满足《环境空气质量标准》（GB 3095-2026）过渡阶段二级浓度限值要求，项目所在区域环境空气质量为达标区</w:t>
            </w:r>
            <w:r>
              <w:rPr>
                <w:rFonts w:hint="eastAsia"/>
                <w:color w:val="auto"/>
                <w:szCs w:val="24"/>
                <w:highlight w:val="none"/>
              </w:rPr>
              <w:t>。</w:t>
            </w:r>
          </w:p>
          <w:p w14:paraId="51CDDA38">
            <w:pPr>
              <w:pStyle w:val="4"/>
              <w:adjustRightInd/>
              <w:spacing w:line="348" w:lineRule="auto"/>
              <w:ind w:firstLine="0"/>
              <w:outlineLvl w:val="2"/>
              <w:rPr>
                <w:color w:val="auto"/>
                <w:szCs w:val="24"/>
                <w:highlight w:val="none"/>
              </w:rPr>
            </w:pPr>
            <w:r>
              <w:rPr>
                <w:b/>
                <w:bCs/>
                <w:color w:val="auto"/>
                <w:szCs w:val="24"/>
                <w:highlight w:val="none"/>
              </w:rPr>
              <w:t>4. 声环境质量</w:t>
            </w:r>
            <w:r>
              <w:rPr>
                <w:rFonts w:hint="eastAsia"/>
                <w:b/>
                <w:bCs/>
                <w:color w:val="auto"/>
                <w:szCs w:val="24"/>
                <w:highlight w:val="none"/>
              </w:rPr>
              <w:t>现状</w:t>
            </w:r>
          </w:p>
          <w:p w14:paraId="613985AF">
            <w:pPr>
              <w:keepNext/>
              <w:keepLines/>
              <w:tabs>
                <w:tab w:val="left" w:pos="420"/>
                <w:tab w:val="left" w:pos="567"/>
              </w:tabs>
              <w:spacing w:before="20" w:after="20" w:line="348" w:lineRule="auto"/>
              <w:jc w:val="left"/>
              <w:outlineLvl w:val="1"/>
              <w:rPr>
                <w:b/>
                <w:bCs/>
                <w:color w:val="auto"/>
                <w:sz w:val="24"/>
                <w:highlight w:val="none"/>
              </w:rPr>
            </w:pPr>
            <w:r>
              <w:rPr>
                <w:b/>
                <w:bCs/>
                <w:color w:val="auto"/>
                <w:sz w:val="24"/>
                <w:highlight w:val="none"/>
              </w:rPr>
              <w:t>4</w:t>
            </w:r>
            <w:r>
              <w:rPr>
                <w:rFonts w:hint="eastAsia"/>
                <w:b/>
                <w:bCs/>
                <w:color w:val="auto"/>
                <w:sz w:val="24"/>
                <w:highlight w:val="none"/>
              </w:rPr>
              <w:t>.1监测因子</w:t>
            </w:r>
          </w:p>
          <w:p w14:paraId="76CA87A0">
            <w:pPr>
              <w:adjustRightInd w:val="0"/>
              <w:spacing w:line="348" w:lineRule="auto"/>
              <w:ind w:firstLine="480" w:firstLineChars="200"/>
              <w:jc w:val="left"/>
              <w:textAlignment w:val="baseline"/>
              <w:rPr>
                <w:rFonts w:hAnsi="宋体"/>
                <w:color w:val="auto"/>
                <w:kern w:val="0"/>
                <w:sz w:val="24"/>
                <w:highlight w:val="none"/>
              </w:rPr>
            </w:pPr>
            <w:r>
              <w:rPr>
                <w:rFonts w:hint="eastAsia" w:hAnsi="宋体"/>
                <w:color w:val="auto"/>
                <w:kern w:val="0"/>
                <w:sz w:val="24"/>
                <w:highlight w:val="none"/>
              </w:rPr>
              <w:t>等效连续A声级。</w:t>
            </w:r>
          </w:p>
          <w:p w14:paraId="52C20B65">
            <w:pPr>
              <w:keepNext/>
              <w:keepLines/>
              <w:tabs>
                <w:tab w:val="left" w:pos="420"/>
                <w:tab w:val="left" w:pos="567"/>
              </w:tabs>
              <w:spacing w:before="20" w:after="20" w:line="348" w:lineRule="auto"/>
              <w:jc w:val="left"/>
              <w:outlineLvl w:val="1"/>
              <w:rPr>
                <w:b/>
                <w:bCs/>
                <w:color w:val="auto"/>
                <w:sz w:val="24"/>
                <w:highlight w:val="none"/>
              </w:rPr>
            </w:pPr>
            <w:r>
              <w:rPr>
                <w:b/>
                <w:bCs/>
                <w:color w:val="auto"/>
                <w:sz w:val="24"/>
                <w:highlight w:val="none"/>
              </w:rPr>
              <w:t>4</w:t>
            </w:r>
            <w:r>
              <w:rPr>
                <w:rFonts w:hint="eastAsia"/>
                <w:b/>
                <w:bCs/>
                <w:color w:val="auto"/>
                <w:sz w:val="24"/>
                <w:highlight w:val="none"/>
              </w:rPr>
              <w:t>.2</w:t>
            </w:r>
            <w:r>
              <w:rPr>
                <w:b/>
                <w:bCs/>
                <w:color w:val="auto"/>
                <w:sz w:val="24"/>
                <w:highlight w:val="none"/>
              </w:rPr>
              <w:t>监测点位及布点方法</w:t>
            </w:r>
          </w:p>
          <w:p w14:paraId="44EB36D2">
            <w:pPr>
              <w:keepNext/>
              <w:keepLines/>
              <w:tabs>
                <w:tab w:val="left" w:pos="420"/>
                <w:tab w:val="left" w:pos="567"/>
              </w:tabs>
              <w:spacing w:before="20" w:after="20" w:line="360" w:lineRule="auto"/>
              <w:jc w:val="left"/>
              <w:outlineLvl w:val="1"/>
              <w:rPr>
                <w:b/>
                <w:bCs/>
                <w:color w:val="auto"/>
                <w:sz w:val="24"/>
                <w:highlight w:val="none"/>
              </w:rPr>
            </w:pPr>
            <w:r>
              <w:rPr>
                <w:rFonts w:hint="eastAsia"/>
                <w:b/>
                <w:bCs/>
                <w:color w:val="auto"/>
                <w:sz w:val="24"/>
                <w:highlight w:val="none"/>
                <w:lang w:val="en-US" w:eastAsia="zh-CN"/>
              </w:rPr>
              <w:t>4</w:t>
            </w:r>
            <w:r>
              <w:rPr>
                <w:rFonts w:hint="eastAsia"/>
                <w:b/>
                <w:bCs/>
                <w:color w:val="auto"/>
                <w:sz w:val="24"/>
                <w:highlight w:val="none"/>
              </w:rPr>
              <w:t>.2</w:t>
            </w:r>
            <w:r>
              <w:rPr>
                <w:b/>
                <w:bCs/>
                <w:color w:val="auto"/>
                <w:sz w:val="24"/>
                <w:highlight w:val="none"/>
              </w:rPr>
              <w:t>.1</w:t>
            </w:r>
            <w:r>
              <w:rPr>
                <w:rFonts w:hint="eastAsia"/>
                <w:b/>
                <w:bCs/>
                <w:color w:val="auto"/>
                <w:sz w:val="24"/>
                <w:highlight w:val="none"/>
              </w:rPr>
              <w:t>布点依据</w:t>
            </w:r>
          </w:p>
          <w:p w14:paraId="1BD4944F">
            <w:pPr>
              <w:adjustRightInd w:val="0"/>
              <w:spacing w:line="360" w:lineRule="auto"/>
              <w:ind w:firstLine="480" w:firstLineChars="200"/>
              <w:textAlignment w:val="baseline"/>
              <w:rPr>
                <w:rFonts w:hint="eastAsia" w:hAnsi="宋体"/>
                <w:color w:val="auto"/>
                <w:kern w:val="0"/>
                <w:sz w:val="24"/>
                <w:highlight w:val="none"/>
              </w:rPr>
            </w:pPr>
            <w:r>
              <w:rPr>
                <w:rFonts w:hint="eastAsia" w:hAnsi="宋体"/>
                <w:color w:val="auto"/>
                <w:kern w:val="0"/>
                <w:sz w:val="24"/>
                <w:highlight w:val="none"/>
              </w:rPr>
              <w:t>《声环境质量标准》（GB3096-2008）</w:t>
            </w:r>
          </w:p>
          <w:p w14:paraId="583343FA">
            <w:pPr>
              <w:pageBreakBefore w:val="0"/>
              <w:widowControl w:val="0"/>
              <w:kinsoku/>
              <w:wordWrap/>
              <w:overflowPunct/>
              <w:topLinePunct w:val="0"/>
              <w:autoSpaceDE/>
              <w:bidi w:val="0"/>
              <w:adjustRightInd w:val="0"/>
              <w:spacing w:line="360" w:lineRule="auto"/>
              <w:textAlignment w:val="baseline"/>
              <w:rPr>
                <w:rFonts w:hint="default" w:ascii="Times New Roman" w:hAnsi="Times New Roman" w:eastAsia="宋体"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4</w:t>
            </w:r>
            <w:r>
              <w:rPr>
                <w:rFonts w:hint="default" w:ascii="Times New Roman" w:hAnsi="Times New Roman" w:eastAsia="宋体" w:cs="Times New Roman"/>
                <w:b/>
                <w:bCs/>
                <w:color w:val="auto"/>
                <w:kern w:val="0"/>
                <w:sz w:val="24"/>
                <w:szCs w:val="24"/>
                <w:highlight w:val="none"/>
              </w:rPr>
              <w:t>.2.2</w:t>
            </w:r>
            <w:r>
              <w:rPr>
                <w:rFonts w:hint="default" w:ascii="Times New Roman" w:hAnsi="Times New Roman" w:eastAsia="宋体" w:cs="Times New Roman"/>
                <w:b/>
                <w:bCs/>
                <w:color w:val="auto"/>
                <w:kern w:val="0"/>
                <w:sz w:val="24"/>
                <w:szCs w:val="24"/>
                <w:highlight w:val="none"/>
                <w:lang w:val="en-US" w:eastAsia="zh-CN"/>
              </w:rPr>
              <w:t>质量</w:t>
            </w:r>
            <w:r>
              <w:rPr>
                <w:rFonts w:hint="eastAsia" w:ascii="Times New Roman" w:hAnsi="Times New Roman" w:eastAsia="宋体" w:cs="Times New Roman"/>
                <w:b/>
                <w:bCs/>
                <w:color w:val="auto"/>
                <w:kern w:val="0"/>
                <w:sz w:val="24"/>
                <w:szCs w:val="24"/>
                <w:highlight w:val="none"/>
                <w:lang w:val="en-US" w:eastAsia="zh-CN"/>
              </w:rPr>
              <w:t>保证和控制</w:t>
            </w:r>
          </w:p>
          <w:p w14:paraId="6BE731BE">
            <w:pPr>
              <w:pageBreakBefore w:val="0"/>
              <w:widowControl w:val="0"/>
              <w:kinsoku/>
              <w:wordWrap/>
              <w:overflowPunct/>
              <w:topLinePunct w:val="0"/>
              <w:autoSpaceDE/>
              <w:bidi w:val="0"/>
              <w:adjustRightInd w:val="0"/>
              <w:spacing w:line="360" w:lineRule="auto"/>
              <w:ind w:firstLine="480" w:firstLineChars="200"/>
              <w:textAlignment w:val="baseline"/>
              <w:rPr>
                <w:rFonts w:hint="eastAsia" w:ascii="Times New Roman" w:hAnsi="宋体" w:eastAsia="宋体" w:cs="Times New Roman"/>
                <w:color w:val="auto"/>
                <w:kern w:val="0"/>
                <w:sz w:val="24"/>
                <w:highlight w:val="none"/>
              </w:rPr>
            </w:pPr>
            <w:r>
              <w:rPr>
                <w:rFonts w:hint="eastAsia" w:ascii="Times New Roman" w:hAnsi="宋体" w:eastAsia="宋体" w:cs="Times New Roman"/>
                <w:color w:val="auto"/>
                <w:kern w:val="0"/>
                <w:sz w:val="24"/>
                <w:szCs w:val="24"/>
                <w:highlight w:val="none"/>
                <w:lang w:eastAsia="zh-CN"/>
              </w:rPr>
              <w:t>（</w:t>
            </w:r>
            <w:r>
              <w:rPr>
                <w:rFonts w:hint="eastAsia" w:ascii="Times New Roman" w:hAnsi="宋体" w:eastAsia="宋体" w:cs="Times New Roman"/>
                <w:color w:val="auto"/>
                <w:kern w:val="0"/>
                <w:sz w:val="24"/>
                <w:szCs w:val="24"/>
                <w:highlight w:val="none"/>
                <w:lang w:val="en-US" w:eastAsia="zh-CN"/>
              </w:rPr>
              <w:t>1</w:t>
            </w:r>
            <w:r>
              <w:rPr>
                <w:rFonts w:hint="eastAsia" w:ascii="Times New Roman" w:hAnsi="宋体" w:eastAsia="宋体" w:cs="Times New Roman"/>
                <w:color w:val="auto"/>
                <w:kern w:val="0"/>
                <w:sz w:val="24"/>
                <w:szCs w:val="24"/>
                <w:highlight w:val="none"/>
                <w:lang w:eastAsia="zh-CN"/>
              </w:rPr>
              <w:t>）</w:t>
            </w:r>
            <w:r>
              <w:rPr>
                <w:rFonts w:hint="eastAsia" w:ascii="Times New Roman" w:hAnsi="宋体" w:eastAsia="宋体" w:cs="Times New Roman"/>
                <w:color w:val="auto"/>
                <w:kern w:val="0"/>
                <w:sz w:val="24"/>
                <w:szCs w:val="24"/>
                <w:highlight w:val="none"/>
              </w:rPr>
              <w:t>检测人员均持有相关检测项目上岗资格证书；</w:t>
            </w:r>
          </w:p>
          <w:p w14:paraId="1F470574">
            <w:pPr>
              <w:pageBreakBefore w:val="0"/>
              <w:widowControl w:val="0"/>
              <w:kinsoku/>
              <w:wordWrap/>
              <w:overflowPunct/>
              <w:topLinePunct w:val="0"/>
              <w:autoSpaceDE/>
              <w:bidi w:val="0"/>
              <w:adjustRightInd w:val="0"/>
              <w:spacing w:line="360" w:lineRule="auto"/>
              <w:ind w:firstLine="480" w:firstLineChars="200"/>
              <w:textAlignment w:val="baseline"/>
              <w:rPr>
                <w:rFonts w:hint="eastAsia" w:ascii="Times New Roman" w:hAnsi="宋体" w:eastAsia="宋体" w:cs="Times New Roman"/>
                <w:color w:val="auto"/>
                <w:kern w:val="0"/>
                <w:sz w:val="24"/>
                <w:highlight w:val="none"/>
              </w:rPr>
            </w:pPr>
            <w:r>
              <w:rPr>
                <w:rFonts w:hint="eastAsia" w:ascii="Times New Roman" w:hAnsi="宋体" w:eastAsia="宋体" w:cs="Times New Roman"/>
                <w:color w:val="auto"/>
                <w:kern w:val="0"/>
                <w:sz w:val="24"/>
                <w:highlight w:val="none"/>
                <w:lang w:eastAsia="zh-CN"/>
              </w:rPr>
              <w:t>（</w:t>
            </w:r>
            <w:r>
              <w:rPr>
                <w:rFonts w:hint="eastAsia" w:ascii="Times New Roman" w:hAnsi="宋体" w:eastAsia="宋体" w:cs="Times New Roman"/>
                <w:color w:val="auto"/>
                <w:kern w:val="0"/>
                <w:sz w:val="24"/>
                <w:highlight w:val="none"/>
                <w:lang w:val="en-US" w:eastAsia="zh-CN"/>
              </w:rPr>
              <w:t>2</w:t>
            </w:r>
            <w:r>
              <w:rPr>
                <w:rFonts w:hint="eastAsia" w:ascii="Times New Roman" w:hAnsi="宋体" w:eastAsia="宋体" w:cs="Times New Roman"/>
                <w:color w:val="auto"/>
                <w:kern w:val="0"/>
                <w:sz w:val="24"/>
                <w:highlight w:val="none"/>
                <w:lang w:eastAsia="zh-CN"/>
              </w:rPr>
              <w:t>）</w:t>
            </w:r>
            <w:r>
              <w:rPr>
                <w:rFonts w:hint="eastAsia" w:ascii="Times New Roman" w:hAnsi="宋体" w:eastAsia="宋体" w:cs="Times New Roman"/>
                <w:color w:val="auto"/>
                <w:kern w:val="0"/>
                <w:sz w:val="24"/>
                <w:highlight w:val="none"/>
              </w:rPr>
              <w:t>检测工作涉及的设备均在校准/检定有效期内，且所使用仪器在检测过程中运行正常；</w:t>
            </w:r>
          </w:p>
          <w:p w14:paraId="7AED0C78">
            <w:pPr>
              <w:pageBreakBefore w:val="0"/>
              <w:widowControl w:val="0"/>
              <w:kinsoku/>
              <w:wordWrap/>
              <w:overflowPunct/>
              <w:topLinePunct w:val="0"/>
              <w:autoSpaceDE/>
              <w:bidi w:val="0"/>
              <w:adjustRightInd w:val="0"/>
              <w:spacing w:line="360" w:lineRule="auto"/>
              <w:ind w:firstLine="480" w:firstLineChars="200"/>
              <w:textAlignment w:val="baseline"/>
              <w:rPr>
                <w:rFonts w:hint="eastAsia" w:ascii="Times New Roman" w:hAnsi="宋体" w:eastAsia="宋体" w:cs="Times New Roman"/>
                <w:color w:val="auto"/>
                <w:kern w:val="0"/>
                <w:sz w:val="24"/>
                <w:highlight w:val="none"/>
              </w:rPr>
            </w:pPr>
            <w:r>
              <w:rPr>
                <w:rFonts w:hint="eastAsia" w:ascii="Times New Roman" w:hAnsi="宋体" w:eastAsia="宋体" w:cs="Times New Roman"/>
                <w:color w:val="auto"/>
                <w:kern w:val="0"/>
                <w:sz w:val="24"/>
                <w:highlight w:val="none"/>
                <w:lang w:eastAsia="zh-CN"/>
              </w:rPr>
              <w:t>（</w:t>
            </w:r>
            <w:r>
              <w:rPr>
                <w:rFonts w:hint="eastAsia" w:ascii="Times New Roman" w:hAnsi="宋体" w:eastAsia="宋体" w:cs="Times New Roman"/>
                <w:color w:val="auto"/>
                <w:kern w:val="0"/>
                <w:sz w:val="24"/>
                <w:highlight w:val="none"/>
                <w:lang w:val="en-US" w:eastAsia="zh-CN"/>
              </w:rPr>
              <w:t>3</w:t>
            </w:r>
            <w:r>
              <w:rPr>
                <w:rFonts w:hint="eastAsia" w:ascii="Times New Roman" w:hAnsi="宋体" w:eastAsia="宋体" w:cs="Times New Roman"/>
                <w:color w:val="auto"/>
                <w:kern w:val="0"/>
                <w:sz w:val="24"/>
                <w:highlight w:val="none"/>
                <w:lang w:eastAsia="zh-CN"/>
              </w:rPr>
              <w:t>）</w:t>
            </w:r>
            <w:r>
              <w:rPr>
                <w:rFonts w:hint="eastAsia" w:ascii="Times New Roman" w:hAnsi="宋体" w:eastAsia="宋体" w:cs="Times New Roman"/>
                <w:color w:val="auto"/>
                <w:kern w:val="0"/>
                <w:sz w:val="24"/>
                <w:highlight w:val="none"/>
              </w:rPr>
              <w:t>检测活动所涉及的方法标准、技术规范均现行有效；</w:t>
            </w:r>
          </w:p>
          <w:p w14:paraId="2EBACB72">
            <w:pPr>
              <w:pageBreakBefore w:val="0"/>
              <w:widowControl w:val="0"/>
              <w:kinsoku/>
              <w:wordWrap/>
              <w:overflowPunct/>
              <w:topLinePunct w:val="0"/>
              <w:autoSpaceDE/>
              <w:bidi w:val="0"/>
              <w:adjustRightInd w:val="0"/>
              <w:spacing w:line="360" w:lineRule="auto"/>
              <w:ind w:firstLine="480" w:firstLineChars="200"/>
              <w:textAlignment w:val="baseline"/>
              <w:rPr>
                <w:rFonts w:hint="eastAsia" w:ascii="Times New Roman" w:hAnsi="宋体" w:eastAsia="宋体" w:cs="Times New Roman"/>
                <w:color w:val="auto"/>
                <w:kern w:val="0"/>
                <w:sz w:val="24"/>
                <w:highlight w:val="none"/>
              </w:rPr>
            </w:pPr>
            <w:r>
              <w:rPr>
                <w:rFonts w:hint="eastAsia" w:ascii="Times New Roman" w:hAnsi="宋体" w:eastAsia="宋体" w:cs="Times New Roman"/>
                <w:color w:val="auto"/>
                <w:kern w:val="0"/>
                <w:sz w:val="24"/>
                <w:highlight w:val="none"/>
                <w:lang w:eastAsia="zh-CN"/>
              </w:rPr>
              <w:t>（</w:t>
            </w:r>
            <w:r>
              <w:rPr>
                <w:rFonts w:hint="eastAsia" w:ascii="Times New Roman" w:hAnsi="宋体" w:eastAsia="宋体" w:cs="Times New Roman"/>
                <w:color w:val="auto"/>
                <w:kern w:val="0"/>
                <w:sz w:val="24"/>
                <w:highlight w:val="none"/>
                <w:lang w:val="en-US" w:eastAsia="zh-CN"/>
              </w:rPr>
              <w:t>4</w:t>
            </w:r>
            <w:r>
              <w:rPr>
                <w:rFonts w:hint="eastAsia" w:ascii="Times New Roman" w:hAnsi="宋体" w:eastAsia="宋体" w:cs="Times New Roman"/>
                <w:color w:val="auto"/>
                <w:kern w:val="0"/>
                <w:sz w:val="24"/>
                <w:highlight w:val="none"/>
                <w:lang w:eastAsia="zh-CN"/>
              </w:rPr>
              <w:t>）</w:t>
            </w:r>
            <w:r>
              <w:rPr>
                <w:rFonts w:hint="eastAsia" w:ascii="Times New Roman" w:hAnsi="宋体" w:eastAsia="宋体" w:cs="Times New Roman"/>
                <w:color w:val="auto"/>
                <w:kern w:val="0"/>
                <w:sz w:val="24"/>
                <w:highlight w:val="none"/>
              </w:rPr>
              <w:t>检测报告实行三级审核。</w:t>
            </w:r>
          </w:p>
          <w:p w14:paraId="18997644">
            <w:pPr>
              <w:adjustRightInd w:val="0"/>
              <w:spacing w:line="360" w:lineRule="auto"/>
              <w:textAlignment w:val="baseline"/>
              <w:rPr>
                <w:rFonts w:hAnsi="宋体"/>
                <w:b/>
                <w:bCs/>
                <w:color w:val="auto"/>
                <w:kern w:val="0"/>
                <w:sz w:val="24"/>
                <w:highlight w:val="none"/>
              </w:rPr>
            </w:pPr>
            <w:r>
              <w:rPr>
                <w:rFonts w:hint="eastAsia" w:hAnsi="宋体"/>
                <w:b/>
                <w:bCs/>
                <w:color w:val="auto"/>
                <w:kern w:val="0"/>
                <w:sz w:val="24"/>
                <w:highlight w:val="none"/>
                <w:lang w:val="en-US" w:eastAsia="zh-CN"/>
              </w:rPr>
              <w:t>4</w:t>
            </w:r>
            <w:r>
              <w:rPr>
                <w:rFonts w:hAnsi="宋体"/>
                <w:b/>
                <w:bCs/>
                <w:color w:val="auto"/>
                <w:kern w:val="0"/>
                <w:sz w:val="24"/>
                <w:highlight w:val="none"/>
              </w:rPr>
              <w:t>.2.</w:t>
            </w:r>
            <w:r>
              <w:rPr>
                <w:rFonts w:hint="eastAsia" w:hAnsi="宋体"/>
                <w:b/>
                <w:bCs/>
                <w:color w:val="auto"/>
                <w:kern w:val="0"/>
                <w:sz w:val="24"/>
                <w:highlight w:val="none"/>
                <w:lang w:val="en-US" w:eastAsia="zh-CN"/>
              </w:rPr>
              <w:t>3</w:t>
            </w:r>
            <w:r>
              <w:rPr>
                <w:rFonts w:hint="eastAsia" w:hAnsi="宋体"/>
                <w:b/>
                <w:bCs/>
                <w:color w:val="auto"/>
                <w:kern w:val="0"/>
                <w:sz w:val="24"/>
                <w:highlight w:val="none"/>
              </w:rPr>
              <w:t>监测布点原则</w:t>
            </w:r>
          </w:p>
          <w:p w14:paraId="17F4ACC2">
            <w:pPr>
              <w:adjustRightInd w:val="0"/>
              <w:spacing w:line="360" w:lineRule="auto"/>
              <w:ind w:firstLine="480" w:firstLineChars="200"/>
              <w:textAlignment w:val="baseline"/>
              <w:rPr>
                <w:rFonts w:hint="eastAsia" w:ascii="Times New Roman" w:hAnsi="宋体" w:eastAsia="宋体" w:cs="Times New Roman"/>
                <w:color w:val="auto"/>
                <w:kern w:val="0"/>
                <w:sz w:val="24"/>
                <w:highlight w:val="none"/>
              </w:rPr>
            </w:pPr>
            <w:r>
              <w:rPr>
                <w:rFonts w:hint="eastAsia" w:ascii="Times New Roman" w:hAnsi="Times New Roman" w:eastAsia="宋体" w:cs="Times New Roman"/>
                <w:color w:val="auto"/>
                <w:sz w:val="24"/>
                <w:highlight w:val="none"/>
                <w:lang w:val="en-US" w:eastAsia="zh-CN"/>
              </w:rPr>
              <w:t>在架空线路沿线处设置现状值监测点。</w:t>
            </w:r>
          </w:p>
          <w:p w14:paraId="259EA5A7">
            <w:pPr>
              <w:pageBreakBefore w:val="0"/>
              <w:widowControl w:val="0"/>
              <w:kinsoku/>
              <w:wordWrap/>
              <w:overflowPunct/>
              <w:topLinePunct w:val="0"/>
              <w:autoSpaceDE/>
              <w:bidi w:val="0"/>
              <w:adjustRightInd w:val="0"/>
              <w:spacing w:line="360" w:lineRule="auto"/>
              <w:textAlignment w:val="baseline"/>
              <w:rPr>
                <w:rFonts w:hint="default" w:ascii="Times New Roman" w:hAnsi="Times New Roman" w:eastAsia="宋体" w:cs="Times New Roman"/>
                <w:b/>
                <w:bCs/>
                <w:color w:val="auto"/>
                <w:kern w:val="0"/>
                <w:sz w:val="24"/>
                <w:szCs w:val="24"/>
                <w:highlight w:val="none"/>
                <w:lang w:val="en-US" w:eastAsia="zh-CN"/>
              </w:rPr>
            </w:pPr>
            <w:r>
              <w:rPr>
                <w:rFonts w:hint="eastAsia" w:ascii="Times New Roman" w:hAnsi="Times New Roman" w:eastAsia="宋体" w:cs="Times New Roman"/>
                <w:b/>
                <w:bCs/>
                <w:color w:val="auto"/>
                <w:kern w:val="0"/>
                <w:sz w:val="24"/>
                <w:szCs w:val="24"/>
                <w:highlight w:val="none"/>
                <w:lang w:val="en-US" w:eastAsia="zh-CN"/>
              </w:rPr>
              <w:t>4.2.</w:t>
            </w:r>
            <w:r>
              <w:rPr>
                <w:rFonts w:hint="eastAsia" w:cs="Times New Roman"/>
                <w:b/>
                <w:bCs/>
                <w:color w:val="auto"/>
                <w:kern w:val="0"/>
                <w:sz w:val="24"/>
                <w:szCs w:val="24"/>
                <w:highlight w:val="none"/>
                <w:lang w:val="en-US" w:eastAsia="zh-CN"/>
              </w:rPr>
              <w:t>4</w:t>
            </w:r>
            <w:r>
              <w:rPr>
                <w:rFonts w:hint="eastAsia" w:ascii="Times New Roman" w:hAnsi="Times New Roman" w:eastAsia="宋体" w:cs="Times New Roman"/>
                <w:b/>
                <w:bCs/>
                <w:color w:val="auto"/>
                <w:kern w:val="0"/>
                <w:sz w:val="24"/>
                <w:szCs w:val="24"/>
                <w:highlight w:val="none"/>
                <w:lang w:val="en-US" w:eastAsia="zh-CN"/>
              </w:rPr>
              <w:t xml:space="preserve"> 监测布点方法</w:t>
            </w:r>
          </w:p>
          <w:p w14:paraId="7AE41DA9">
            <w:pPr>
              <w:adjustRightInd w:val="0"/>
              <w:spacing w:line="348" w:lineRule="auto"/>
              <w:ind w:firstLine="480" w:firstLineChars="200"/>
              <w:textAlignment w:val="baseline"/>
              <w:rPr>
                <w:rFonts w:hAnsi="宋体"/>
                <w:color w:val="auto"/>
                <w:kern w:val="0"/>
                <w:sz w:val="24"/>
                <w:highlight w:val="none"/>
              </w:rPr>
            </w:pPr>
            <w:r>
              <w:rPr>
                <w:color w:val="auto"/>
                <w:kern w:val="0"/>
                <w:sz w:val="24"/>
                <w:highlight w:val="none"/>
              </w:rPr>
              <w:t>在</w:t>
            </w:r>
            <w:r>
              <w:rPr>
                <w:rFonts w:hint="eastAsia"/>
                <w:color w:val="auto"/>
                <w:kern w:val="0"/>
                <w:sz w:val="24"/>
                <w:highlight w:val="none"/>
              </w:rPr>
              <w:t>原柳白黄北线#29、茅白线#30用跳线沟通</w:t>
            </w:r>
            <w:r>
              <w:rPr>
                <w:rFonts w:hint="eastAsia"/>
                <w:color w:val="auto"/>
                <w:kern w:val="0"/>
                <w:sz w:val="24"/>
                <w:highlight w:val="none"/>
                <w:lang w:val="en-US" w:eastAsia="zh-CN"/>
              </w:rPr>
              <w:t>段架空线路</w:t>
            </w:r>
            <w:r>
              <w:rPr>
                <w:color w:val="auto"/>
                <w:kern w:val="0"/>
                <w:sz w:val="24"/>
                <w:highlight w:val="none"/>
              </w:rPr>
              <w:t>下方</w:t>
            </w:r>
            <w:r>
              <w:rPr>
                <w:rFonts w:hint="eastAsia" w:hAnsi="宋体"/>
                <w:color w:val="auto"/>
                <w:kern w:val="0"/>
                <w:sz w:val="24"/>
                <w:highlight w:val="none"/>
              </w:rPr>
              <w:t>距地面</w:t>
            </w:r>
            <w:r>
              <w:rPr>
                <w:rFonts w:hint="eastAsia" w:hAnsi="宋体"/>
                <w:color w:val="auto"/>
                <w:kern w:val="0"/>
                <w:sz w:val="24"/>
                <w:highlight w:val="none"/>
                <w:lang w:eastAsia="zh-CN"/>
              </w:rPr>
              <w:t>1.5m</w:t>
            </w:r>
            <w:r>
              <w:rPr>
                <w:rFonts w:hint="eastAsia" w:hAnsi="宋体"/>
                <w:color w:val="auto"/>
                <w:kern w:val="0"/>
                <w:sz w:val="24"/>
                <w:highlight w:val="none"/>
              </w:rPr>
              <w:t>高处</w:t>
            </w:r>
            <w:r>
              <w:rPr>
                <w:rFonts w:hint="eastAsia" w:hAnsi="宋体"/>
                <w:color w:val="auto"/>
                <w:kern w:val="0"/>
                <w:sz w:val="24"/>
                <w:highlight w:val="none"/>
                <w:lang w:val="en-US" w:eastAsia="zh-CN"/>
              </w:rPr>
              <w:t>共</w:t>
            </w:r>
            <w:r>
              <w:rPr>
                <w:rFonts w:hAnsi="宋体"/>
                <w:color w:val="auto"/>
                <w:kern w:val="0"/>
                <w:sz w:val="24"/>
                <w:highlight w:val="none"/>
              </w:rPr>
              <w:t>设置</w:t>
            </w:r>
            <w:r>
              <w:rPr>
                <w:rFonts w:hint="eastAsia" w:hAnsi="宋体"/>
                <w:color w:val="auto"/>
                <w:kern w:val="0"/>
                <w:sz w:val="24"/>
                <w:highlight w:val="none"/>
                <w:lang w:val="en-US" w:eastAsia="zh-CN"/>
              </w:rPr>
              <w:t>1</w:t>
            </w:r>
            <w:r>
              <w:rPr>
                <w:rFonts w:hAnsi="宋体"/>
                <w:color w:val="auto"/>
                <w:kern w:val="0"/>
                <w:sz w:val="24"/>
                <w:highlight w:val="none"/>
              </w:rPr>
              <w:t>处</w:t>
            </w:r>
            <w:r>
              <w:rPr>
                <w:rFonts w:hint="eastAsia" w:hAnsi="宋体"/>
                <w:color w:val="auto"/>
                <w:kern w:val="0"/>
                <w:sz w:val="24"/>
                <w:highlight w:val="none"/>
                <w:lang w:val="en-US" w:eastAsia="zh-CN"/>
              </w:rPr>
              <w:t>环境噪声现状值</w:t>
            </w:r>
            <w:r>
              <w:rPr>
                <w:rFonts w:hAnsi="宋体"/>
                <w:color w:val="auto"/>
                <w:kern w:val="0"/>
                <w:sz w:val="24"/>
                <w:highlight w:val="none"/>
              </w:rPr>
              <w:t>监测点位。</w:t>
            </w:r>
          </w:p>
          <w:p w14:paraId="20014120">
            <w:pPr>
              <w:adjustRightInd w:val="0"/>
              <w:spacing w:line="360" w:lineRule="auto"/>
              <w:textAlignment w:val="baseline"/>
              <w:rPr>
                <w:rFonts w:hAnsi="宋体"/>
                <w:b/>
                <w:bCs/>
                <w:color w:val="auto"/>
                <w:kern w:val="0"/>
                <w:sz w:val="24"/>
                <w:highlight w:val="none"/>
              </w:rPr>
            </w:pPr>
            <w:r>
              <w:rPr>
                <w:rFonts w:hint="eastAsia" w:hAnsi="宋体"/>
                <w:b/>
                <w:bCs/>
                <w:color w:val="auto"/>
                <w:kern w:val="0"/>
                <w:sz w:val="24"/>
                <w:highlight w:val="none"/>
                <w:lang w:val="en-US" w:eastAsia="zh-CN"/>
              </w:rPr>
              <w:t>4</w:t>
            </w:r>
            <w:r>
              <w:rPr>
                <w:rFonts w:hAnsi="宋体"/>
                <w:b/>
                <w:bCs/>
                <w:color w:val="auto"/>
                <w:kern w:val="0"/>
                <w:sz w:val="24"/>
                <w:highlight w:val="none"/>
              </w:rPr>
              <w:t>.2.</w:t>
            </w:r>
            <w:r>
              <w:rPr>
                <w:rFonts w:hint="eastAsia" w:hAnsi="宋体"/>
                <w:b/>
                <w:bCs/>
                <w:color w:val="auto"/>
                <w:kern w:val="0"/>
                <w:sz w:val="24"/>
                <w:highlight w:val="none"/>
                <w:lang w:val="en-US" w:eastAsia="zh-CN"/>
              </w:rPr>
              <w:t>5</w:t>
            </w:r>
            <w:r>
              <w:rPr>
                <w:rFonts w:hint="eastAsia" w:hAnsi="宋体"/>
                <w:b/>
                <w:bCs/>
                <w:color w:val="auto"/>
                <w:kern w:val="0"/>
                <w:sz w:val="24"/>
                <w:highlight w:val="none"/>
              </w:rPr>
              <w:t>监测点位代表性分析</w:t>
            </w:r>
          </w:p>
          <w:p w14:paraId="7668AFAD">
            <w:pPr>
              <w:adjustRightInd w:val="0"/>
              <w:spacing w:line="360" w:lineRule="auto"/>
              <w:ind w:firstLine="480" w:firstLineChars="200"/>
              <w:textAlignment w:val="baseline"/>
              <w:rPr>
                <w:rFonts w:hint="eastAsia" w:hAnsi="宋体"/>
                <w:color w:val="auto"/>
                <w:kern w:val="0"/>
                <w:sz w:val="24"/>
                <w:highlight w:val="none"/>
              </w:rPr>
            </w:pPr>
            <w:r>
              <w:rPr>
                <w:rFonts w:hint="eastAsia" w:hAnsi="宋体"/>
                <w:color w:val="auto"/>
                <w:kern w:val="0"/>
                <w:sz w:val="24"/>
                <w:highlight w:val="none"/>
              </w:rPr>
              <w:t>本次监测在</w:t>
            </w:r>
            <w:r>
              <w:rPr>
                <w:rFonts w:hint="eastAsia" w:hAnsi="宋体"/>
                <w:color w:val="auto"/>
                <w:kern w:val="0"/>
                <w:sz w:val="24"/>
                <w:highlight w:val="none"/>
                <w:lang w:val="en-US" w:eastAsia="zh-CN"/>
              </w:rPr>
              <w:t>线路沿线无声环境敏感目标</w:t>
            </w:r>
            <w:r>
              <w:rPr>
                <w:rFonts w:hint="eastAsia" w:hAnsi="宋体"/>
                <w:color w:val="auto"/>
                <w:kern w:val="0"/>
                <w:sz w:val="24"/>
                <w:highlight w:val="none"/>
                <w:lang w:eastAsia="zh-CN"/>
              </w:rPr>
              <w:t>，为了解</w:t>
            </w:r>
            <w:r>
              <w:rPr>
                <w:rFonts w:hint="eastAsia" w:hAnsi="宋体"/>
                <w:color w:val="auto"/>
                <w:kern w:val="0"/>
                <w:sz w:val="24"/>
                <w:highlight w:val="none"/>
                <w:lang w:val="en-US" w:eastAsia="zh-CN"/>
              </w:rPr>
              <w:t>线路沿线</w:t>
            </w:r>
            <w:r>
              <w:rPr>
                <w:rFonts w:hint="eastAsia" w:hAnsi="宋体"/>
                <w:color w:val="auto"/>
                <w:kern w:val="0"/>
                <w:sz w:val="24"/>
                <w:highlight w:val="none"/>
                <w:lang w:eastAsia="zh-CN"/>
              </w:rPr>
              <w:t>电磁环境</w:t>
            </w:r>
            <w:r>
              <w:rPr>
                <w:rFonts w:hint="eastAsia" w:hAnsi="宋体"/>
                <w:color w:val="auto"/>
                <w:kern w:val="0"/>
                <w:sz w:val="24"/>
                <w:highlight w:val="none"/>
                <w:lang w:val="en-US" w:eastAsia="zh-CN"/>
              </w:rPr>
              <w:t>现状值监测，在拟建线路下方布设现状值监测点。监测</w:t>
            </w:r>
            <w:r>
              <w:rPr>
                <w:rFonts w:hint="eastAsia" w:hAnsi="宋体"/>
                <w:color w:val="auto"/>
                <w:kern w:val="0"/>
                <w:sz w:val="24"/>
                <w:highlight w:val="none"/>
              </w:rPr>
              <w:t>所选点位能代表</w:t>
            </w:r>
            <w:r>
              <w:rPr>
                <w:rFonts w:hint="eastAsia" w:hAnsi="宋体"/>
                <w:color w:val="auto"/>
                <w:kern w:val="0"/>
                <w:sz w:val="24"/>
                <w:highlight w:val="none"/>
                <w:lang w:val="en-US" w:eastAsia="zh-CN"/>
              </w:rPr>
              <w:t>线路</w:t>
            </w:r>
            <w:r>
              <w:rPr>
                <w:rFonts w:hint="eastAsia" w:hAnsi="宋体"/>
                <w:color w:val="auto"/>
                <w:kern w:val="0"/>
                <w:sz w:val="24"/>
                <w:highlight w:val="none"/>
              </w:rPr>
              <w:t>各种环境情况</w:t>
            </w:r>
            <w:r>
              <w:rPr>
                <w:rFonts w:hint="eastAsia" w:hAnsi="宋体"/>
                <w:color w:val="auto"/>
                <w:kern w:val="0"/>
                <w:sz w:val="24"/>
                <w:highlight w:val="none"/>
                <w:lang w:eastAsia="zh-CN"/>
              </w:rPr>
              <w:t>，</w:t>
            </w:r>
            <w:r>
              <w:rPr>
                <w:rFonts w:hint="eastAsia" w:hAnsi="宋体"/>
                <w:color w:val="auto"/>
                <w:kern w:val="0"/>
                <w:sz w:val="24"/>
                <w:highlight w:val="none"/>
              </w:rPr>
              <w:t>故本项目电磁环境现状监测点位具有代表性。</w:t>
            </w:r>
          </w:p>
          <w:p w14:paraId="41FBE915">
            <w:pPr>
              <w:adjustRightInd w:val="0"/>
              <w:spacing w:line="360" w:lineRule="auto"/>
              <w:ind w:firstLine="480" w:firstLineChars="200"/>
              <w:textAlignment w:val="baseline"/>
              <w:rPr>
                <w:rFonts w:hint="eastAsia" w:hAnsi="宋体"/>
                <w:color w:val="auto"/>
                <w:kern w:val="0"/>
                <w:sz w:val="24"/>
                <w:highlight w:val="none"/>
              </w:rPr>
            </w:pPr>
          </w:p>
          <w:p w14:paraId="2B255016">
            <w:pPr>
              <w:adjustRightInd w:val="0"/>
              <w:spacing w:line="360" w:lineRule="auto"/>
              <w:ind w:firstLine="480" w:firstLineChars="200"/>
              <w:textAlignment w:val="baseline"/>
              <w:rPr>
                <w:rFonts w:hint="eastAsia" w:hAnsi="宋体"/>
                <w:color w:val="auto"/>
                <w:kern w:val="0"/>
                <w:sz w:val="24"/>
                <w:highlight w:val="none"/>
              </w:rPr>
            </w:pPr>
          </w:p>
          <w:p w14:paraId="2C8A7973">
            <w:pPr>
              <w:pStyle w:val="23"/>
              <w:numPr>
                <w:ilvl w:val="0"/>
                <w:numId w:val="5"/>
              </w:numPr>
              <w:tabs>
                <w:tab w:val="right" w:pos="5142"/>
              </w:tabs>
              <w:ind w:left="0" w:leftChars="0" w:firstLine="0" w:firstLineChars="0"/>
              <w:jc w:val="center"/>
              <w:rPr>
                <w:rFonts w:ascii="Times New Roman" w:hAnsi="Times New Roman"/>
                <w:b/>
                <w:color w:val="auto"/>
                <w:sz w:val="24"/>
                <w:szCs w:val="24"/>
                <w:highlight w:val="none"/>
              </w:rPr>
            </w:pPr>
            <w:r>
              <w:rPr>
                <w:rFonts w:ascii="Times New Roman" w:hAnsi="Times New Roman"/>
                <w:b/>
                <w:color w:val="auto"/>
                <w:sz w:val="24"/>
                <w:szCs w:val="24"/>
                <w:highlight w:val="none"/>
              </w:rPr>
              <w:t xml:space="preserve">  本</w:t>
            </w:r>
            <w:r>
              <w:rPr>
                <w:rFonts w:hint="eastAsia" w:ascii="Times New Roman" w:hAnsi="Times New Roman"/>
                <w:b/>
                <w:color w:val="auto"/>
                <w:sz w:val="24"/>
                <w:szCs w:val="24"/>
                <w:highlight w:val="none"/>
              </w:rPr>
              <w:t>项目</w:t>
            </w:r>
            <w:r>
              <w:rPr>
                <w:rFonts w:ascii="Times New Roman" w:hAnsi="Times New Roman"/>
                <w:b/>
                <w:color w:val="auto"/>
                <w:sz w:val="24"/>
                <w:szCs w:val="24"/>
                <w:highlight w:val="none"/>
              </w:rPr>
              <w:t>声环境监测点位一览表</w:t>
            </w:r>
          </w:p>
          <w:tbl>
            <w:tblPr>
              <w:tblStyle w:val="44"/>
              <w:tblW w:w="4965"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12"/>
              <w:gridCol w:w="1118"/>
              <w:gridCol w:w="3473"/>
              <w:gridCol w:w="2206"/>
              <w:gridCol w:w="1253"/>
            </w:tblGrid>
            <w:tr w14:paraId="2E6F73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354" w:type="pct"/>
                  <w:vAlign w:val="center"/>
                </w:tcPr>
                <w:p w14:paraId="67D0BA79">
                  <w:pPr>
                    <w:pStyle w:val="243"/>
                    <w:rPr>
                      <w:b/>
                      <w:bCs/>
                      <w:color w:val="auto"/>
                      <w:sz w:val="21"/>
                      <w:szCs w:val="21"/>
                      <w:highlight w:val="none"/>
                    </w:rPr>
                  </w:pPr>
                  <w:r>
                    <w:rPr>
                      <w:b/>
                      <w:bCs/>
                      <w:color w:val="auto"/>
                      <w:sz w:val="21"/>
                      <w:szCs w:val="21"/>
                      <w:highlight w:val="none"/>
                    </w:rPr>
                    <w:t>序号</w:t>
                  </w:r>
                </w:p>
              </w:tc>
              <w:tc>
                <w:tcPr>
                  <w:tcW w:w="645" w:type="pct"/>
                  <w:vAlign w:val="center"/>
                </w:tcPr>
                <w:p w14:paraId="53890F86">
                  <w:pPr>
                    <w:pStyle w:val="243"/>
                    <w:rPr>
                      <w:rFonts w:hint="default" w:eastAsia="宋体"/>
                      <w:b/>
                      <w:bCs/>
                      <w:color w:val="auto"/>
                      <w:sz w:val="21"/>
                      <w:szCs w:val="21"/>
                      <w:highlight w:val="none"/>
                      <w:lang w:val="en-US" w:eastAsia="zh-CN"/>
                    </w:rPr>
                  </w:pPr>
                  <w:r>
                    <w:rPr>
                      <w:rFonts w:hint="eastAsia"/>
                      <w:b/>
                      <w:bCs/>
                      <w:color w:val="auto"/>
                      <w:sz w:val="21"/>
                      <w:szCs w:val="21"/>
                      <w:highlight w:val="none"/>
                      <w:lang w:val="en-US" w:eastAsia="zh-CN"/>
                    </w:rPr>
                    <w:t>行政区域</w:t>
                  </w:r>
                </w:p>
              </w:tc>
              <w:tc>
                <w:tcPr>
                  <w:tcW w:w="3277" w:type="pct"/>
                  <w:gridSpan w:val="2"/>
                  <w:vAlign w:val="center"/>
                </w:tcPr>
                <w:p w14:paraId="4D8EA15A">
                  <w:pPr>
                    <w:pStyle w:val="243"/>
                    <w:rPr>
                      <w:b/>
                      <w:bCs/>
                      <w:color w:val="auto"/>
                      <w:sz w:val="21"/>
                      <w:szCs w:val="21"/>
                      <w:highlight w:val="none"/>
                    </w:rPr>
                  </w:pPr>
                  <w:r>
                    <w:rPr>
                      <w:b/>
                      <w:bCs/>
                      <w:color w:val="auto"/>
                      <w:sz w:val="21"/>
                      <w:szCs w:val="21"/>
                      <w:highlight w:val="none"/>
                    </w:rPr>
                    <w:t>测点名称</w:t>
                  </w:r>
                </w:p>
              </w:tc>
              <w:tc>
                <w:tcPr>
                  <w:tcW w:w="723" w:type="pct"/>
                  <w:vAlign w:val="center"/>
                </w:tcPr>
                <w:p w14:paraId="73D0DB06">
                  <w:pPr>
                    <w:pStyle w:val="243"/>
                    <w:rPr>
                      <w:b/>
                      <w:bCs/>
                      <w:color w:val="auto"/>
                      <w:sz w:val="21"/>
                      <w:szCs w:val="21"/>
                      <w:highlight w:val="none"/>
                    </w:rPr>
                  </w:pPr>
                  <w:r>
                    <w:rPr>
                      <w:b/>
                      <w:bCs/>
                      <w:color w:val="auto"/>
                      <w:sz w:val="21"/>
                      <w:szCs w:val="21"/>
                      <w:highlight w:val="none"/>
                    </w:rPr>
                    <w:t>监测点位布置</w:t>
                  </w:r>
                </w:p>
              </w:tc>
            </w:tr>
            <w:tr w14:paraId="457DF5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9" w:hRule="atLeast"/>
              </w:trPr>
              <w:tc>
                <w:tcPr>
                  <w:tcW w:w="354" w:type="pct"/>
                  <w:shd w:val="clear" w:color="auto" w:fill="auto"/>
                  <w:vAlign w:val="center"/>
                </w:tcPr>
                <w:p w14:paraId="028A0C8E">
                  <w:pPr>
                    <w:pStyle w:val="243"/>
                    <w:numPr>
                      <w:ilvl w:val="0"/>
                      <w:numId w:val="6"/>
                    </w:numPr>
                    <w:ind w:left="0" w:leftChars="0" w:firstLine="0" w:firstLineChars="0"/>
                    <w:rPr>
                      <w:rFonts w:hint="default" w:ascii="Times New Roman" w:hAnsi="Times New Roman" w:eastAsia="宋体" w:cs="Times New Roman"/>
                      <w:color w:val="auto"/>
                      <w:sz w:val="21"/>
                      <w:szCs w:val="21"/>
                      <w:highlight w:val="none"/>
                      <w:lang w:val="en-US" w:eastAsia="zh-CN"/>
                    </w:rPr>
                  </w:pPr>
                </w:p>
              </w:tc>
              <w:tc>
                <w:tcPr>
                  <w:tcW w:w="645" w:type="pct"/>
                  <w:tcBorders>
                    <w:right w:val="single" w:color="auto" w:sz="4" w:space="0"/>
                  </w:tcBorders>
                  <w:shd w:val="clear" w:color="auto" w:fill="auto"/>
                  <w:vAlign w:val="center"/>
                </w:tcPr>
                <w:p w14:paraId="64A0E7B9">
                  <w:pPr>
                    <w:pStyle w:val="243"/>
                    <w:ind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柳北区</w:t>
                  </w:r>
                  <w:r>
                    <w:rPr>
                      <w:rFonts w:hint="eastAsia" w:ascii="Times New Roman" w:hAnsi="Times New Roman" w:cs="Times New Roman"/>
                      <w:color w:val="auto"/>
                      <w:kern w:val="0"/>
                      <w:sz w:val="21"/>
                      <w:szCs w:val="21"/>
                      <w:highlight w:val="none"/>
                      <w:lang w:val="en-US" w:eastAsia="zh-CN" w:bidi="ar-SA"/>
                    </w:rPr>
                    <w:t>锦绣街道</w:t>
                  </w:r>
                </w:p>
              </w:tc>
              <w:tc>
                <w:tcPr>
                  <w:tcW w:w="2004" w:type="pct"/>
                  <w:tcBorders>
                    <w:right w:val="single" w:color="auto" w:sz="4" w:space="0"/>
                  </w:tcBorders>
                  <w:shd w:val="clear" w:color="auto" w:fill="auto"/>
                  <w:vAlign w:val="center"/>
                </w:tcPr>
                <w:p w14:paraId="1BB4A0B7">
                  <w:pPr>
                    <w:pStyle w:val="243"/>
                    <w:ind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原柳白黄北线#29、茅白线#30用跳线沟通段架空线路下方现状值</w:t>
                  </w:r>
                </w:p>
              </w:tc>
              <w:tc>
                <w:tcPr>
                  <w:tcW w:w="1272" w:type="pct"/>
                  <w:tcBorders>
                    <w:left w:val="single" w:color="auto" w:sz="4" w:space="0"/>
                  </w:tcBorders>
                  <w:shd w:val="clear" w:color="auto" w:fill="auto"/>
                  <w:vAlign w:val="center"/>
                </w:tcPr>
                <w:p w14:paraId="2982469C">
                  <w:pPr>
                    <w:pStyle w:val="243"/>
                    <w:ind w:firstLine="0" w:firstLineChars="0"/>
                    <w:rPr>
                      <w:rFonts w:hint="default"/>
                      <w:color w:val="auto"/>
                      <w:sz w:val="21"/>
                      <w:szCs w:val="21"/>
                      <w:highlight w:val="none"/>
                      <w:lang w:val="en-US" w:eastAsia="zh-CN"/>
                    </w:rPr>
                  </w:pPr>
                  <w:r>
                    <w:rPr>
                      <w:rFonts w:hint="eastAsia"/>
                      <w:color w:val="auto"/>
                      <w:sz w:val="21"/>
                      <w:szCs w:val="21"/>
                      <w:highlight w:val="none"/>
                      <w:lang w:val="en-US" w:eastAsia="zh-CN"/>
                    </w:rPr>
                    <w:t>位于柳州市柳北区</w:t>
                  </w:r>
                  <w:r>
                    <w:rPr>
                      <w:rFonts w:hint="eastAsia" w:ascii="Times New Roman" w:hAnsi="Times New Roman" w:cs="Times New Roman"/>
                      <w:color w:val="auto"/>
                      <w:kern w:val="0"/>
                      <w:sz w:val="21"/>
                      <w:szCs w:val="21"/>
                      <w:highlight w:val="none"/>
                      <w:lang w:val="en-US" w:eastAsia="zh-CN" w:bidi="ar-SA"/>
                    </w:rPr>
                    <w:t>锦绣街道白沙社区</w:t>
                  </w:r>
                </w:p>
              </w:tc>
              <w:tc>
                <w:tcPr>
                  <w:tcW w:w="723" w:type="pct"/>
                  <w:vMerge w:val="restart"/>
                  <w:shd w:val="clear" w:color="auto" w:fill="auto"/>
                  <w:vAlign w:val="center"/>
                </w:tcPr>
                <w:p w14:paraId="4DC55C83">
                  <w:pPr>
                    <w:pStyle w:val="243"/>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距地面高度1.5m处</w:t>
                  </w:r>
                </w:p>
              </w:tc>
            </w:tr>
            <w:tr w14:paraId="714EDC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9" w:hRule="atLeast"/>
              </w:trPr>
              <w:tc>
                <w:tcPr>
                  <w:tcW w:w="354" w:type="pct"/>
                  <w:shd w:val="clear" w:color="auto" w:fill="auto"/>
                  <w:vAlign w:val="center"/>
                </w:tcPr>
                <w:p w14:paraId="4E1DB2A9">
                  <w:pPr>
                    <w:pStyle w:val="243"/>
                    <w:numPr>
                      <w:ilvl w:val="0"/>
                      <w:numId w:val="6"/>
                    </w:numPr>
                    <w:ind w:left="0" w:leftChars="0" w:firstLine="0" w:firstLineChars="0"/>
                    <w:rPr>
                      <w:rFonts w:hint="default" w:ascii="Times New Roman" w:hAnsi="Times New Roman" w:eastAsia="宋体" w:cs="Times New Roman"/>
                      <w:color w:val="auto"/>
                      <w:sz w:val="21"/>
                      <w:szCs w:val="21"/>
                      <w:highlight w:val="none"/>
                      <w:lang w:val="en-US" w:eastAsia="zh-CN"/>
                    </w:rPr>
                  </w:pPr>
                </w:p>
              </w:tc>
              <w:tc>
                <w:tcPr>
                  <w:tcW w:w="645" w:type="pct"/>
                  <w:tcBorders>
                    <w:right w:val="single" w:color="auto" w:sz="4" w:space="0"/>
                  </w:tcBorders>
                  <w:shd w:val="clear" w:color="auto" w:fill="auto"/>
                  <w:vAlign w:val="center"/>
                </w:tcPr>
                <w:p w14:paraId="60DFCF5D">
                  <w:pPr>
                    <w:pStyle w:val="243"/>
                    <w:ind w:firstLine="0" w:firstLineChars="0"/>
                    <w:rPr>
                      <w:rFonts w:hint="eastAsia"/>
                      <w:color w:val="auto"/>
                      <w:sz w:val="21"/>
                      <w:szCs w:val="21"/>
                      <w:highlight w:val="none"/>
                      <w:lang w:val="en-US" w:eastAsia="zh-CN"/>
                    </w:rPr>
                  </w:pPr>
                  <w:r>
                    <w:rPr>
                      <w:rFonts w:hint="eastAsia" w:ascii="Times New Roman" w:hAnsi="Times New Roman" w:cs="Times New Roman"/>
                      <w:color w:val="auto"/>
                      <w:kern w:val="0"/>
                      <w:sz w:val="21"/>
                      <w:szCs w:val="21"/>
                      <w:highlight w:val="none"/>
                      <w:lang w:val="en-US" w:eastAsia="zh-CN" w:bidi="ar-SA"/>
                    </w:rPr>
                    <w:t>柳北区胜利街道</w:t>
                  </w:r>
                </w:p>
              </w:tc>
              <w:tc>
                <w:tcPr>
                  <w:tcW w:w="2004" w:type="pct"/>
                  <w:tcBorders>
                    <w:right w:val="single" w:color="auto" w:sz="4" w:space="0"/>
                  </w:tcBorders>
                  <w:shd w:val="clear" w:color="auto" w:fill="auto"/>
                  <w:vAlign w:val="center"/>
                </w:tcPr>
                <w:p w14:paraId="5097702A">
                  <w:pPr>
                    <w:pStyle w:val="243"/>
                    <w:ind w:firstLine="0" w:firstLineChars="0"/>
                    <w:rPr>
                      <w:rFonts w:hint="eastAsia"/>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拟建</w:t>
                  </w:r>
                  <w:r>
                    <w:rPr>
                      <w:rFonts w:hint="eastAsia" w:ascii="Times New Roman" w:hAnsi="Times New Roman" w:cs="Times New Roman"/>
                      <w:color w:val="auto"/>
                      <w:sz w:val="21"/>
                      <w:szCs w:val="21"/>
                      <w:highlight w:val="none"/>
                      <w:lang w:val="en-US" w:eastAsia="zh-CN"/>
                    </w:rPr>
                    <w:t>电缆段</w:t>
                  </w:r>
                  <w:r>
                    <w:rPr>
                      <w:rFonts w:hint="default" w:ascii="Times New Roman" w:hAnsi="Times New Roman" w:cs="Times New Roman"/>
                      <w:color w:val="auto"/>
                      <w:sz w:val="21"/>
                      <w:szCs w:val="21"/>
                      <w:highlight w:val="none"/>
                      <w:lang w:val="en-US" w:eastAsia="zh-CN"/>
                    </w:rPr>
                    <w:t>线路</w:t>
                  </w:r>
                  <w:r>
                    <w:rPr>
                      <w:rFonts w:hint="eastAsia" w:ascii="Times New Roman" w:hAnsi="Times New Roman" w:cs="Times New Roman"/>
                      <w:color w:val="auto"/>
                      <w:sz w:val="21"/>
                      <w:szCs w:val="21"/>
                      <w:highlight w:val="none"/>
                      <w:lang w:val="en-US" w:eastAsia="zh-CN"/>
                    </w:rPr>
                    <w:t>周围</w:t>
                  </w:r>
                  <w:r>
                    <w:rPr>
                      <w:rFonts w:hint="default" w:ascii="Times New Roman" w:hAnsi="Times New Roman" w:cs="Times New Roman"/>
                      <w:color w:val="auto"/>
                      <w:sz w:val="21"/>
                      <w:szCs w:val="21"/>
                      <w:highlight w:val="none"/>
                      <w:lang w:val="en-US" w:eastAsia="zh-CN"/>
                    </w:rPr>
                    <w:t>现状值</w:t>
                  </w:r>
                </w:p>
              </w:tc>
              <w:tc>
                <w:tcPr>
                  <w:tcW w:w="1272" w:type="pct"/>
                  <w:tcBorders>
                    <w:left w:val="single" w:color="auto" w:sz="4" w:space="0"/>
                  </w:tcBorders>
                  <w:shd w:val="clear" w:color="auto" w:fill="auto"/>
                  <w:vAlign w:val="center"/>
                </w:tcPr>
                <w:p w14:paraId="2DD8D775">
                  <w:pPr>
                    <w:pStyle w:val="243"/>
                    <w:ind w:firstLine="0" w:firstLineChars="0"/>
                    <w:rPr>
                      <w:rFonts w:hint="eastAsia"/>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位于110kV河北变电站西北侧围墙外</w:t>
                  </w:r>
                </w:p>
              </w:tc>
              <w:tc>
                <w:tcPr>
                  <w:tcW w:w="723" w:type="pct"/>
                  <w:vMerge w:val="continue"/>
                  <w:shd w:val="clear" w:color="auto" w:fill="auto"/>
                  <w:vAlign w:val="center"/>
                </w:tcPr>
                <w:p w14:paraId="09CAA443">
                  <w:pPr>
                    <w:pStyle w:val="243"/>
                    <w:ind w:firstLine="0" w:firstLineChars="0"/>
                    <w:rPr>
                      <w:rFonts w:hint="eastAsia" w:ascii="Times New Roman" w:hAnsi="Times New Roman" w:eastAsia="宋体" w:cs="Times New Roman"/>
                      <w:color w:val="auto"/>
                      <w:kern w:val="2"/>
                      <w:sz w:val="21"/>
                      <w:szCs w:val="21"/>
                      <w:highlight w:val="none"/>
                      <w:lang w:val="en-US" w:eastAsia="zh-CN" w:bidi="ar-SA"/>
                    </w:rPr>
                  </w:pPr>
                </w:p>
              </w:tc>
            </w:tr>
          </w:tbl>
          <w:p w14:paraId="7F67EBC7">
            <w:pPr>
              <w:adjustRightInd w:val="0"/>
              <w:spacing w:line="348" w:lineRule="auto"/>
              <w:textAlignment w:val="baseline"/>
              <w:rPr>
                <w:rFonts w:hint="eastAsia" w:hAnsi="宋体" w:eastAsia="宋体"/>
                <w:color w:val="auto"/>
                <w:kern w:val="0"/>
                <w:sz w:val="24"/>
                <w:highlight w:val="none"/>
                <w:lang w:eastAsia="zh-CN"/>
              </w:rPr>
            </w:pPr>
            <w:r>
              <w:rPr>
                <w:rFonts w:hint="eastAsia" w:hAnsi="宋体" w:eastAsia="宋体"/>
                <w:color w:val="auto"/>
                <w:kern w:val="0"/>
                <w:sz w:val="24"/>
                <w:highlight w:val="none"/>
                <w:lang w:eastAsia="zh-CN"/>
              </w:rPr>
              <w:drawing>
                <wp:inline distT="0" distB="0" distL="114300" distR="114300">
                  <wp:extent cx="5537200" cy="3386455"/>
                  <wp:effectExtent l="0" t="0" r="0" b="4445"/>
                  <wp:docPr id="22" name="图片 22" descr="3-4 监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4 监测"/>
                          <pic:cNvPicPr>
                            <a:picLocks noChangeAspect="1"/>
                          </pic:cNvPicPr>
                        </pic:nvPicPr>
                        <pic:blipFill>
                          <a:blip r:embed="rId21"/>
                          <a:stretch>
                            <a:fillRect/>
                          </a:stretch>
                        </pic:blipFill>
                        <pic:spPr>
                          <a:xfrm>
                            <a:off x="0" y="0"/>
                            <a:ext cx="5537200" cy="3386455"/>
                          </a:xfrm>
                          <a:prstGeom prst="rect">
                            <a:avLst/>
                          </a:prstGeom>
                        </pic:spPr>
                      </pic:pic>
                    </a:graphicData>
                  </a:graphic>
                </wp:inline>
              </w:drawing>
            </w:r>
          </w:p>
          <w:p w14:paraId="4F3CF08A">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hAnsi="宋体"/>
                <w:b/>
                <w:bCs/>
                <w:color w:val="auto"/>
                <w:kern w:val="0"/>
                <w:sz w:val="24"/>
                <w:highlight w:val="none"/>
                <w:lang w:eastAsia="zh-CN"/>
              </w:rPr>
            </w:pPr>
            <w:r>
              <w:rPr>
                <w:b/>
                <w:color w:val="auto"/>
                <w:sz w:val="24"/>
                <w:highlight w:val="none"/>
              </w:rPr>
              <w:t xml:space="preserve">  </w:t>
            </w:r>
            <w:r>
              <w:rPr>
                <w:rFonts w:hint="eastAsia"/>
                <w:b/>
                <w:color w:val="auto"/>
                <w:sz w:val="24"/>
                <w:highlight w:val="none"/>
              </w:rPr>
              <w:t>本项目</w:t>
            </w:r>
            <w:r>
              <w:rPr>
                <w:rFonts w:hint="eastAsia"/>
                <w:b/>
                <w:color w:val="auto"/>
                <w:sz w:val="24"/>
                <w:highlight w:val="none"/>
                <w:lang w:eastAsia="zh-CN"/>
              </w:rPr>
              <w:t>线路沿线</w:t>
            </w:r>
            <w:r>
              <w:rPr>
                <w:rFonts w:hint="eastAsia" w:hAnsi="宋体"/>
                <w:b/>
                <w:bCs/>
                <w:color w:val="auto"/>
                <w:kern w:val="0"/>
                <w:sz w:val="24"/>
                <w:highlight w:val="none"/>
                <w:lang w:val="en-US" w:eastAsia="zh-CN"/>
              </w:rPr>
              <w:t>监测点位示意图（一）</w:t>
            </w:r>
          </w:p>
          <w:p w14:paraId="2874D4EF">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auto"/>
              <w:jc w:val="center"/>
              <w:textAlignment w:val="auto"/>
              <w:rPr>
                <w:rFonts w:hint="eastAsia" w:hAnsi="宋体"/>
                <w:b/>
                <w:bCs/>
                <w:color w:val="auto"/>
                <w:kern w:val="0"/>
                <w:sz w:val="24"/>
                <w:highlight w:val="none"/>
                <w:lang w:eastAsia="zh-CN"/>
              </w:rPr>
            </w:pPr>
            <w:r>
              <w:rPr>
                <w:rFonts w:hint="eastAsia" w:hAnsi="宋体"/>
                <w:b/>
                <w:bCs/>
                <w:color w:val="auto"/>
                <w:kern w:val="0"/>
                <w:sz w:val="24"/>
                <w:highlight w:val="none"/>
                <w:lang w:eastAsia="zh-CN"/>
              </w:rPr>
              <w:drawing>
                <wp:inline distT="0" distB="0" distL="114300" distR="114300">
                  <wp:extent cx="5537200" cy="3785870"/>
                  <wp:effectExtent l="0" t="0" r="0" b="11430"/>
                  <wp:docPr id="9" name="图片 9" descr="3-3 监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3 监测"/>
                          <pic:cNvPicPr>
                            <a:picLocks noChangeAspect="1"/>
                          </pic:cNvPicPr>
                        </pic:nvPicPr>
                        <pic:blipFill>
                          <a:blip r:embed="rId22"/>
                          <a:stretch>
                            <a:fillRect/>
                          </a:stretch>
                        </pic:blipFill>
                        <pic:spPr>
                          <a:xfrm>
                            <a:off x="0" y="0"/>
                            <a:ext cx="5537200" cy="3785870"/>
                          </a:xfrm>
                          <a:prstGeom prst="rect">
                            <a:avLst/>
                          </a:prstGeom>
                        </pic:spPr>
                      </pic:pic>
                    </a:graphicData>
                  </a:graphic>
                </wp:inline>
              </w:drawing>
            </w:r>
          </w:p>
          <w:p w14:paraId="0C8D3C6B">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hAnsi="宋体"/>
                <w:b/>
                <w:bCs/>
                <w:color w:val="auto"/>
                <w:kern w:val="0"/>
                <w:sz w:val="24"/>
                <w:highlight w:val="none"/>
                <w:lang w:eastAsia="zh-CN"/>
              </w:rPr>
            </w:pPr>
            <w:r>
              <w:rPr>
                <w:b/>
                <w:color w:val="auto"/>
                <w:sz w:val="24"/>
                <w:highlight w:val="none"/>
              </w:rPr>
              <w:t xml:space="preserve">  </w:t>
            </w:r>
            <w:r>
              <w:rPr>
                <w:rFonts w:hint="eastAsia"/>
                <w:b/>
                <w:color w:val="auto"/>
                <w:sz w:val="24"/>
                <w:highlight w:val="none"/>
              </w:rPr>
              <w:t>本项目</w:t>
            </w:r>
            <w:r>
              <w:rPr>
                <w:rFonts w:hint="eastAsia"/>
                <w:b/>
                <w:color w:val="auto"/>
                <w:sz w:val="24"/>
                <w:highlight w:val="none"/>
                <w:lang w:eastAsia="zh-CN"/>
              </w:rPr>
              <w:t>线路沿线</w:t>
            </w:r>
            <w:r>
              <w:rPr>
                <w:rFonts w:hint="eastAsia" w:hAnsi="宋体"/>
                <w:b/>
                <w:bCs/>
                <w:color w:val="auto"/>
                <w:kern w:val="0"/>
                <w:sz w:val="24"/>
                <w:highlight w:val="none"/>
                <w:lang w:val="en-US" w:eastAsia="zh-CN"/>
              </w:rPr>
              <w:t>监测点位示意图（二）</w:t>
            </w:r>
          </w:p>
          <w:p w14:paraId="4B45916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auto"/>
              <w:jc w:val="center"/>
              <w:textAlignment w:val="auto"/>
              <w:rPr>
                <w:rFonts w:hint="eastAsia" w:hAnsi="宋体"/>
                <w:b/>
                <w:bCs/>
                <w:color w:val="auto"/>
                <w:kern w:val="0"/>
                <w:sz w:val="24"/>
                <w:highlight w:val="none"/>
                <w:lang w:eastAsia="zh-CN"/>
              </w:rPr>
            </w:pPr>
          </w:p>
          <w:p w14:paraId="5D9BA47E">
            <w:pPr>
              <w:keepNext/>
              <w:keepLines/>
              <w:tabs>
                <w:tab w:val="left" w:pos="420"/>
                <w:tab w:val="left" w:pos="567"/>
              </w:tabs>
              <w:spacing w:before="20" w:after="20" w:line="360" w:lineRule="auto"/>
              <w:jc w:val="left"/>
              <w:outlineLvl w:val="1"/>
              <w:rPr>
                <w:b/>
                <w:bCs/>
                <w:color w:val="auto"/>
                <w:sz w:val="24"/>
                <w:highlight w:val="none"/>
              </w:rPr>
            </w:pPr>
            <w:r>
              <w:rPr>
                <w:b/>
                <w:bCs/>
                <w:color w:val="auto"/>
                <w:sz w:val="24"/>
                <w:highlight w:val="none"/>
              </w:rPr>
              <w:t>4</w:t>
            </w:r>
            <w:r>
              <w:rPr>
                <w:rFonts w:hint="eastAsia"/>
                <w:b/>
                <w:bCs/>
                <w:color w:val="auto"/>
                <w:sz w:val="24"/>
                <w:highlight w:val="none"/>
              </w:rPr>
              <w:t>.3</w:t>
            </w:r>
            <w:r>
              <w:rPr>
                <w:b/>
                <w:bCs/>
                <w:color w:val="auto"/>
                <w:sz w:val="24"/>
                <w:highlight w:val="none"/>
              </w:rPr>
              <w:t>监测频次</w:t>
            </w:r>
          </w:p>
          <w:p w14:paraId="37024F04">
            <w:pPr>
              <w:adjustRightInd w:val="0"/>
              <w:spacing w:line="360" w:lineRule="auto"/>
              <w:ind w:firstLine="480" w:firstLineChars="200"/>
              <w:jc w:val="left"/>
              <w:textAlignment w:val="baseline"/>
              <w:rPr>
                <w:rFonts w:hAnsi="宋体"/>
                <w:color w:val="auto"/>
                <w:kern w:val="0"/>
                <w:sz w:val="24"/>
                <w:highlight w:val="none"/>
              </w:rPr>
            </w:pPr>
            <w:r>
              <w:rPr>
                <w:rFonts w:hAnsi="宋体"/>
                <w:color w:val="auto"/>
                <w:kern w:val="0"/>
                <w:sz w:val="24"/>
                <w:highlight w:val="none"/>
              </w:rPr>
              <w:t>各监测点位昼、夜间各监测一次。</w:t>
            </w:r>
          </w:p>
          <w:p w14:paraId="6E9E0CBD">
            <w:pPr>
              <w:keepNext/>
              <w:keepLines/>
              <w:tabs>
                <w:tab w:val="left" w:pos="420"/>
                <w:tab w:val="left" w:pos="567"/>
              </w:tabs>
              <w:spacing w:before="20" w:after="20" w:line="360" w:lineRule="auto"/>
              <w:jc w:val="left"/>
              <w:outlineLvl w:val="1"/>
              <w:rPr>
                <w:b/>
                <w:bCs/>
                <w:color w:val="auto"/>
                <w:sz w:val="24"/>
                <w:highlight w:val="none"/>
              </w:rPr>
            </w:pPr>
            <w:r>
              <w:rPr>
                <w:b/>
                <w:bCs/>
                <w:color w:val="auto"/>
                <w:sz w:val="24"/>
                <w:highlight w:val="none"/>
              </w:rPr>
              <w:t>4</w:t>
            </w:r>
            <w:r>
              <w:rPr>
                <w:rFonts w:hint="eastAsia"/>
                <w:b/>
                <w:bCs/>
                <w:color w:val="auto"/>
                <w:sz w:val="24"/>
                <w:highlight w:val="none"/>
              </w:rPr>
              <w:t>.4</w:t>
            </w:r>
            <w:r>
              <w:rPr>
                <w:b/>
                <w:bCs/>
                <w:color w:val="auto"/>
                <w:sz w:val="24"/>
                <w:highlight w:val="none"/>
              </w:rPr>
              <w:t>监测</w:t>
            </w:r>
            <w:r>
              <w:rPr>
                <w:rFonts w:hint="eastAsia"/>
                <w:b/>
                <w:bCs/>
                <w:color w:val="auto"/>
                <w:sz w:val="24"/>
                <w:highlight w:val="none"/>
              </w:rPr>
              <w:t>时间及监测条件</w:t>
            </w:r>
          </w:p>
          <w:p w14:paraId="405BA905">
            <w:pPr>
              <w:adjustRightInd w:val="0"/>
              <w:spacing w:line="360" w:lineRule="auto"/>
              <w:ind w:firstLine="480" w:firstLineChars="200"/>
              <w:jc w:val="left"/>
              <w:textAlignment w:val="baseline"/>
              <w:rPr>
                <w:rFonts w:hAnsi="宋体"/>
                <w:color w:val="auto"/>
                <w:kern w:val="0"/>
                <w:sz w:val="24"/>
                <w:highlight w:val="none"/>
              </w:rPr>
            </w:pPr>
            <w:r>
              <w:rPr>
                <w:rFonts w:hint="eastAsia" w:hAnsi="宋体"/>
                <w:color w:val="auto"/>
                <w:kern w:val="0"/>
                <w:sz w:val="24"/>
                <w:highlight w:val="none"/>
              </w:rPr>
              <w:t>监测单位：</w:t>
            </w:r>
            <w:bookmarkStart w:id="20" w:name="_Hlk126673084"/>
            <w:r>
              <w:rPr>
                <w:rFonts w:hint="eastAsia" w:hAnsi="宋体"/>
                <w:color w:val="auto"/>
                <w:kern w:val="0"/>
                <w:sz w:val="24"/>
                <w:highlight w:val="none"/>
              </w:rPr>
              <w:t>湖北君邦检测技术有限公司</w:t>
            </w:r>
            <w:bookmarkEnd w:id="20"/>
          </w:p>
          <w:p w14:paraId="176FF01F">
            <w:pPr>
              <w:adjustRightInd w:val="0"/>
              <w:spacing w:line="360" w:lineRule="auto"/>
              <w:ind w:firstLine="480" w:firstLineChars="200"/>
              <w:jc w:val="left"/>
              <w:textAlignment w:val="baseline"/>
              <w:rPr>
                <w:rFonts w:hAnsi="宋体"/>
                <w:color w:val="auto"/>
                <w:kern w:val="0"/>
                <w:sz w:val="24"/>
                <w:highlight w:val="none"/>
              </w:rPr>
            </w:pPr>
            <w:r>
              <w:rPr>
                <w:rFonts w:hAnsi="宋体"/>
                <w:color w:val="auto"/>
                <w:kern w:val="0"/>
                <w:sz w:val="24"/>
                <w:highlight w:val="none"/>
              </w:rPr>
              <w:t>监测时间及监测</w:t>
            </w:r>
            <w:r>
              <w:rPr>
                <w:rFonts w:hint="eastAsia" w:hAnsi="宋体"/>
                <w:color w:val="auto"/>
                <w:kern w:val="0"/>
                <w:sz w:val="24"/>
                <w:highlight w:val="none"/>
              </w:rPr>
              <w:t>环境</w:t>
            </w:r>
            <w:r>
              <w:rPr>
                <w:rFonts w:hAnsi="宋体"/>
                <w:color w:val="auto"/>
                <w:kern w:val="0"/>
                <w:sz w:val="24"/>
                <w:highlight w:val="none"/>
              </w:rPr>
              <w:t>条件见表3-2。</w:t>
            </w:r>
          </w:p>
          <w:p w14:paraId="3C5B9DCB">
            <w:pPr>
              <w:pStyle w:val="23"/>
              <w:numPr>
                <w:ilvl w:val="0"/>
                <w:numId w:val="5"/>
              </w:numPr>
              <w:tabs>
                <w:tab w:val="right" w:pos="5142"/>
              </w:tabs>
              <w:ind w:left="0" w:leftChars="0" w:firstLine="0" w:firstLineChars="0"/>
              <w:jc w:val="center"/>
              <w:rPr>
                <w:b/>
                <w:color w:val="auto"/>
                <w:kern w:val="0"/>
                <w:sz w:val="24"/>
                <w:highlight w:val="none"/>
              </w:rPr>
            </w:pPr>
            <w:r>
              <w:rPr>
                <w:rFonts w:hint="default" w:ascii="Times New Roman" w:hAnsi="Times New Roman" w:cs="Times New Roman"/>
                <w:b/>
                <w:color w:val="auto"/>
                <w:kern w:val="0"/>
                <w:sz w:val="24"/>
                <w:highlight w:val="none"/>
              </w:rPr>
              <w:t xml:space="preserve">  监测时间</w:t>
            </w:r>
            <w:r>
              <w:rPr>
                <w:rFonts w:hint="eastAsia" w:hAnsi="宋体"/>
                <w:b/>
                <w:color w:val="auto"/>
                <w:kern w:val="0"/>
                <w:sz w:val="24"/>
                <w:highlight w:val="none"/>
              </w:rPr>
              <w:t>及监测环境</w:t>
            </w:r>
            <w:r>
              <w:rPr>
                <w:rFonts w:hAnsi="宋体"/>
                <w:b/>
                <w:color w:val="auto"/>
                <w:kern w:val="0"/>
                <w:sz w:val="24"/>
                <w:highlight w:val="none"/>
              </w:rPr>
              <w:t>条件</w:t>
            </w:r>
          </w:p>
          <w:tbl>
            <w:tblPr>
              <w:tblStyle w:val="44"/>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5"/>
              <w:gridCol w:w="2024"/>
              <w:gridCol w:w="855"/>
              <w:gridCol w:w="1328"/>
              <w:gridCol w:w="1328"/>
              <w:gridCol w:w="1328"/>
            </w:tblGrid>
            <w:tr w14:paraId="14598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63" w:type="pct"/>
                  <w:vAlign w:val="center"/>
                </w:tcPr>
                <w:p w14:paraId="21C147FE">
                  <w:pPr>
                    <w:adjustRightInd w:val="0"/>
                    <w:snapToGrid w:val="0"/>
                    <w:jc w:val="center"/>
                    <w:textAlignment w:val="baseline"/>
                    <w:rPr>
                      <w:b/>
                      <w:bCs/>
                      <w:color w:val="auto"/>
                      <w:kern w:val="0"/>
                      <w:szCs w:val="21"/>
                      <w:highlight w:val="none"/>
                    </w:rPr>
                  </w:pPr>
                  <w:r>
                    <w:rPr>
                      <w:rFonts w:hAnsi="宋体"/>
                      <w:b/>
                      <w:bCs/>
                      <w:color w:val="auto"/>
                      <w:kern w:val="0"/>
                      <w:szCs w:val="21"/>
                      <w:highlight w:val="none"/>
                    </w:rPr>
                    <w:t>检测日期</w:t>
                  </w:r>
                </w:p>
              </w:tc>
              <w:tc>
                <w:tcPr>
                  <w:tcW w:w="1160" w:type="pct"/>
                  <w:vAlign w:val="center"/>
                </w:tcPr>
                <w:p w14:paraId="0EF3AD8C">
                  <w:pPr>
                    <w:adjustRightInd w:val="0"/>
                    <w:snapToGrid w:val="0"/>
                    <w:jc w:val="center"/>
                    <w:textAlignment w:val="baseline"/>
                    <w:rPr>
                      <w:rFonts w:hAnsi="宋体"/>
                      <w:b/>
                      <w:bCs/>
                      <w:color w:val="auto"/>
                      <w:kern w:val="0"/>
                      <w:szCs w:val="21"/>
                      <w:highlight w:val="none"/>
                    </w:rPr>
                  </w:pPr>
                  <w:r>
                    <w:rPr>
                      <w:rFonts w:hint="eastAsia"/>
                      <w:b/>
                      <w:bCs/>
                      <w:color w:val="auto"/>
                      <w:kern w:val="0"/>
                      <w:szCs w:val="21"/>
                      <w:highlight w:val="none"/>
                    </w:rPr>
                    <w:t>监测时间</w:t>
                  </w:r>
                </w:p>
              </w:tc>
              <w:tc>
                <w:tcPr>
                  <w:tcW w:w="490" w:type="pct"/>
                  <w:vAlign w:val="center"/>
                </w:tcPr>
                <w:p w14:paraId="35559845">
                  <w:pPr>
                    <w:adjustRightInd w:val="0"/>
                    <w:snapToGrid w:val="0"/>
                    <w:jc w:val="center"/>
                    <w:textAlignment w:val="baseline"/>
                    <w:rPr>
                      <w:b/>
                      <w:bCs/>
                      <w:color w:val="auto"/>
                      <w:kern w:val="0"/>
                      <w:szCs w:val="21"/>
                      <w:highlight w:val="none"/>
                    </w:rPr>
                  </w:pPr>
                  <w:r>
                    <w:rPr>
                      <w:rFonts w:hAnsi="宋体"/>
                      <w:b/>
                      <w:bCs/>
                      <w:color w:val="auto"/>
                      <w:kern w:val="0"/>
                      <w:szCs w:val="21"/>
                      <w:highlight w:val="none"/>
                    </w:rPr>
                    <w:t>天气</w:t>
                  </w:r>
                </w:p>
              </w:tc>
              <w:tc>
                <w:tcPr>
                  <w:tcW w:w="761" w:type="pct"/>
                  <w:vAlign w:val="center"/>
                </w:tcPr>
                <w:p w14:paraId="2FBF62B0">
                  <w:pPr>
                    <w:adjustRightInd w:val="0"/>
                    <w:snapToGrid w:val="0"/>
                    <w:jc w:val="center"/>
                    <w:textAlignment w:val="baseline"/>
                    <w:rPr>
                      <w:b/>
                      <w:bCs/>
                      <w:color w:val="auto"/>
                      <w:kern w:val="0"/>
                      <w:szCs w:val="21"/>
                      <w:highlight w:val="none"/>
                    </w:rPr>
                  </w:pPr>
                  <w:r>
                    <w:rPr>
                      <w:rFonts w:hAnsi="宋体"/>
                      <w:b/>
                      <w:bCs/>
                      <w:color w:val="auto"/>
                      <w:kern w:val="0"/>
                      <w:szCs w:val="21"/>
                      <w:highlight w:val="none"/>
                    </w:rPr>
                    <w:t>温度</w:t>
                  </w:r>
                  <w:r>
                    <w:rPr>
                      <w:rFonts w:hint="eastAsia" w:hAnsi="宋体"/>
                      <w:b/>
                      <w:bCs/>
                      <w:color w:val="auto"/>
                      <w:kern w:val="0"/>
                      <w:szCs w:val="21"/>
                      <w:highlight w:val="none"/>
                    </w:rPr>
                    <w:t>（</w:t>
                  </w:r>
                  <w:r>
                    <w:rPr>
                      <w:rFonts w:hAnsi="宋体"/>
                      <w:b/>
                      <w:bCs/>
                      <w:color w:val="auto"/>
                      <w:kern w:val="0"/>
                      <w:szCs w:val="21"/>
                      <w:highlight w:val="none"/>
                    </w:rPr>
                    <w:t>℃</w:t>
                  </w:r>
                  <w:r>
                    <w:rPr>
                      <w:rFonts w:hint="eastAsia" w:hAnsi="宋体"/>
                      <w:b/>
                      <w:bCs/>
                      <w:color w:val="auto"/>
                      <w:kern w:val="0"/>
                      <w:szCs w:val="21"/>
                      <w:highlight w:val="none"/>
                    </w:rPr>
                    <w:t>）</w:t>
                  </w:r>
                </w:p>
              </w:tc>
              <w:tc>
                <w:tcPr>
                  <w:tcW w:w="761" w:type="pct"/>
                  <w:vAlign w:val="center"/>
                </w:tcPr>
                <w:p w14:paraId="5C39C8B0">
                  <w:pPr>
                    <w:adjustRightInd w:val="0"/>
                    <w:snapToGrid w:val="0"/>
                    <w:jc w:val="center"/>
                    <w:textAlignment w:val="baseline"/>
                    <w:rPr>
                      <w:b/>
                      <w:bCs/>
                      <w:color w:val="auto"/>
                      <w:kern w:val="0"/>
                      <w:szCs w:val="21"/>
                      <w:highlight w:val="none"/>
                    </w:rPr>
                  </w:pPr>
                  <w:r>
                    <w:rPr>
                      <w:rFonts w:hAnsi="宋体"/>
                      <w:b/>
                      <w:bCs/>
                      <w:color w:val="auto"/>
                      <w:kern w:val="0"/>
                      <w:szCs w:val="21"/>
                      <w:highlight w:val="none"/>
                    </w:rPr>
                    <w:t>湿度</w:t>
                  </w:r>
                  <w:r>
                    <w:rPr>
                      <w:rFonts w:hint="eastAsia" w:hAnsi="宋体"/>
                      <w:b/>
                      <w:bCs/>
                      <w:color w:val="auto"/>
                      <w:kern w:val="0"/>
                      <w:szCs w:val="21"/>
                      <w:highlight w:val="none"/>
                    </w:rPr>
                    <w:t>（</w:t>
                  </w:r>
                  <w:r>
                    <w:rPr>
                      <w:b/>
                      <w:bCs/>
                      <w:color w:val="auto"/>
                      <w:kern w:val="0"/>
                      <w:szCs w:val="21"/>
                      <w:highlight w:val="none"/>
                    </w:rPr>
                    <w:t>%</w:t>
                  </w:r>
                  <w:r>
                    <w:rPr>
                      <w:rFonts w:hint="eastAsia" w:hAnsi="宋体"/>
                      <w:b/>
                      <w:bCs/>
                      <w:color w:val="auto"/>
                      <w:kern w:val="0"/>
                      <w:szCs w:val="21"/>
                      <w:highlight w:val="none"/>
                    </w:rPr>
                    <w:t>）</w:t>
                  </w:r>
                </w:p>
              </w:tc>
              <w:tc>
                <w:tcPr>
                  <w:tcW w:w="761" w:type="pct"/>
                  <w:vAlign w:val="center"/>
                </w:tcPr>
                <w:p w14:paraId="2FD4DE1B">
                  <w:pPr>
                    <w:adjustRightInd w:val="0"/>
                    <w:snapToGrid w:val="0"/>
                    <w:jc w:val="center"/>
                    <w:textAlignment w:val="baseline"/>
                    <w:rPr>
                      <w:b/>
                      <w:bCs/>
                      <w:color w:val="auto"/>
                      <w:kern w:val="0"/>
                      <w:szCs w:val="21"/>
                      <w:highlight w:val="none"/>
                    </w:rPr>
                  </w:pPr>
                  <w:r>
                    <w:rPr>
                      <w:rFonts w:hAnsi="宋体"/>
                      <w:b/>
                      <w:bCs/>
                      <w:color w:val="auto"/>
                      <w:kern w:val="0"/>
                      <w:szCs w:val="21"/>
                      <w:highlight w:val="none"/>
                    </w:rPr>
                    <w:t>风速</w:t>
                  </w:r>
                  <w:r>
                    <w:rPr>
                      <w:rFonts w:hint="eastAsia" w:hAnsi="宋体"/>
                      <w:b/>
                      <w:bCs/>
                      <w:color w:val="auto"/>
                      <w:kern w:val="0"/>
                      <w:szCs w:val="21"/>
                      <w:highlight w:val="none"/>
                    </w:rPr>
                    <w:t>（</w:t>
                  </w:r>
                  <w:r>
                    <w:rPr>
                      <w:b/>
                      <w:bCs/>
                      <w:color w:val="auto"/>
                      <w:kern w:val="0"/>
                      <w:szCs w:val="21"/>
                      <w:highlight w:val="none"/>
                    </w:rPr>
                    <w:t>m/s</w:t>
                  </w:r>
                  <w:r>
                    <w:rPr>
                      <w:rFonts w:hint="eastAsia" w:hAnsi="宋体"/>
                      <w:b/>
                      <w:bCs/>
                      <w:color w:val="auto"/>
                      <w:kern w:val="0"/>
                      <w:szCs w:val="21"/>
                      <w:highlight w:val="none"/>
                    </w:rPr>
                    <w:t>）</w:t>
                  </w:r>
                </w:p>
              </w:tc>
            </w:tr>
            <w:tr w14:paraId="69D99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63" w:type="pct"/>
                  <w:vAlign w:val="center"/>
                </w:tcPr>
                <w:p w14:paraId="49A8787A">
                  <w:pPr>
                    <w:adjustRightInd w:val="0"/>
                    <w:snapToGrid w:val="0"/>
                    <w:jc w:val="center"/>
                    <w:textAlignment w:val="baseline"/>
                    <w:rPr>
                      <w:color w:val="auto"/>
                      <w:kern w:val="0"/>
                      <w:szCs w:val="21"/>
                      <w:highlight w:val="none"/>
                    </w:rPr>
                  </w:pPr>
                  <w:r>
                    <w:rPr>
                      <w:color w:val="auto"/>
                      <w:highlight w:val="none"/>
                    </w:rPr>
                    <w:t>202</w:t>
                  </w:r>
                  <w:r>
                    <w:rPr>
                      <w:rFonts w:hint="eastAsia"/>
                      <w:color w:val="auto"/>
                      <w:highlight w:val="none"/>
                      <w:lang w:val="en-US" w:eastAsia="zh-CN"/>
                    </w:rPr>
                    <w:t>6</w:t>
                  </w:r>
                  <w:r>
                    <w:rPr>
                      <w:color w:val="auto"/>
                      <w:highlight w:val="none"/>
                    </w:rPr>
                    <w:t>年</w:t>
                  </w:r>
                  <w:r>
                    <w:rPr>
                      <w:rFonts w:hint="eastAsia"/>
                      <w:color w:val="auto"/>
                      <w:highlight w:val="none"/>
                      <w:lang w:val="en-US" w:eastAsia="zh-CN"/>
                    </w:rPr>
                    <w:t>6</w:t>
                  </w:r>
                  <w:r>
                    <w:rPr>
                      <w:color w:val="auto"/>
                      <w:highlight w:val="none"/>
                    </w:rPr>
                    <w:t>月</w:t>
                  </w:r>
                  <w:r>
                    <w:rPr>
                      <w:rFonts w:hint="eastAsia"/>
                      <w:color w:val="auto"/>
                      <w:highlight w:val="none"/>
                      <w:lang w:val="en-US" w:eastAsia="zh-CN"/>
                    </w:rPr>
                    <w:t>11</w:t>
                  </w:r>
                  <w:r>
                    <w:rPr>
                      <w:color w:val="auto"/>
                      <w:highlight w:val="none"/>
                    </w:rPr>
                    <w:t>日</w:t>
                  </w:r>
                </w:p>
              </w:tc>
              <w:tc>
                <w:tcPr>
                  <w:tcW w:w="1160" w:type="pct"/>
                  <w:vAlign w:val="center"/>
                </w:tcPr>
                <w:p w14:paraId="538E7A15">
                  <w:pPr>
                    <w:adjustRightInd w:val="0"/>
                    <w:snapToGrid w:val="0"/>
                    <w:jc w:val="center"/>
                    <w:textAlignment w:val="baseline"/>
                    <w:rPr>
                      <w:rFonts w:hint="eastAsia"/>
                      <w:color w:val="auto"/>
                      <w:kern w:val="0"/>
                      <w:szCs w:val="21"/>
                      <w:highlight w:val="none"/>
                    </w:rPr>
                  </w:pPr>
                  <w:r>
                    <w:rPr>
                      <w:rFonts w:hint="eastAsia"/>
                      <w:color w:val="auto"/>
                      <w:kern w:val="0"/>
                      <w:szCs w:val="21"/>
                      <w:highlight w:val="none"/>
                    </w:rPr>
                    <w:t>昼间：1</w:t>
                  </w:r>
                  <w:r>
                    <w:rPr>
                      <w:rFonts w:hint="eastAsia"/>
                      <w:color w:val="auto"/>
                      <w:kern w:val="0"/>
                      <w:szCs w:val="21"/>
                      <w:highlight w:val="none"/>
                      <w:lang w:val="en-US" w:eastAsia="zh-CN"/>
                    </w:rPr>
                    <w:t>0</w:t>
                  </w:r>
                  <w:r>
                    <w:rPr>
                      <w:rFonts w:hint="eastAsia"/>
                      <w:color w:val="auto"/>
                      <w:kern w:val="0"/>
                      <w:szCs w:val="21"/>
                      <w:highlight w:val="none"/>
                    </w:rPr>
                    <w:t>:00-1</w:t>
                  </w:r>
                  <w:r>
                    <w:rPr>
                      <w:rFonts w:hint="eastAsia"/>
                      <w:color w:val="auto"/>
                      <w:kern w:val="0"/>
                      <w:szCs w:val="21"/>
                      <w:highlight w:val="none"/>
                      <w:lang w:val="en-US" w:eastAsia="zh-CN"/>
                    </w:rPr>
                    <w:t>2</w:t>
                  </w:r>
                  <w:r>
                    <w:rPr>
                      <w:rFonts w:hint="eastAsia"/>
                      <w:color w:val="auto"/>
                      <w:kern w:val="0"/>
                      <w:szCs w:val="21"/>
                      <w:highlight w:val="none"/>
                    </w:rPr>
                    <w:t>:00</w:t>
                  </w:r>
                </w:p>
                <w:p w14:paraId="5A29738A">
                  <w:pPr>
                    <w:adjustRightInd w:val="0"/>
                    <w:snapToGrid w:val="0"/>
                    <w:jc w:val="center"/>
                    <w:textAlignment w:val="baseline"/>
                    <w:rPr>
                      <w:rFonts w:hint="default" w:eastAsia="宋体"/>
                      <w:color w:val="auto"/>
                      <w:kern w:val="0"/>
                      <w:szCs w:val="21"/>
                      <w:highlight w:val="none"/>
                      <w:lang w:val="en-US" w:eastAsia="zh-CN"/>
                    </w:rPr>
                  </w:pPr>
                  <w:r>
                    <w:rPr>
                      <w:rFonts w:hint="eastAsia"/>
                      <w:color w:val="auto"/>
                      <w:kern w:val="0"/>
                      <w:szCs w:val="21"/>
                      <w:highlight w:val="none"/>
                      <w:lang w:val="en-US" w:eastAsia="zh-CN"/>
                    </w:rPr>
                    <w:t>夜间：22:</w:t>
                  </w:r>
                  <w:r>
                    <w:rPr>
                      <w:rFonts w:hint="eastAsia"/>
                      <w:color w:val="auto"/>
                      <w:kern w:val="0"/>
                      <w:szCs w:val="21"/>
                      <w:highlight w:val="none"/>
                    </w:rPr>
                    <w:t>:00-</w:t>
                  </w:r>
                  <w:r>
                    <w:rPr>
                      <w:rFonts w:hint="eastAsia"/>
                      <w:color w:val="auto"/>
                      <w:kern w:val="0"/>
                      <w:szCs w:val="21"/>
                      <w:highlight w:val="none"/>
                      <w:lang w:val="en-US" w:eastAsia="zh-CN"/>
                    </w:rPr>
                    <w:t>23</w:t>
                  </w:r>
                  <w:r>
                    <w:rPr>
                      <w:rFonts w:hint="eastAsia"/>
                      <w:color w:val="auto"/>
                      <w:kern w:val="0"/>
                      <w:szCs w:val="21"/>
                      <w:highlight w:val="none"/>
                    </w:rPr>
                    <w:t>:00</w:t>
                  </w:r>
                </w:p>
              </w:tc>
              <w:tc>
                <w:tcPr>
                  <w:tcW w:w="490" w:type="pct"/>
                  <w:vAlign w:val="center"/>
                </w:tcPr>
                <w:p w14:paraId="1BEE4FD2">
                  <w:pPr>
                    <w:adjustRightInd w:val="0"/>
                    <w:snapToGrid w:val="0"/>
                    <w:jc w:val="center"/>
                    <w:textAlignment w:val="baseline"/>
                    <w:rPr>
                      <w:color w:val="auto"/>
                      <w:kern w:val="0"/>
                      <w:szCs w:val="21"/>
                      <w:highlight w:val="none"/>
                    </w:rPr>
                  </w:pPr>
                  <w:r>
                    <w:rPr>
                      <w:rFonts w:hint="eastAsia"/>
                      <w:color w:val="auto"/>
                      <w:highlight w:val="none"/>
                    </w:rPr>
                    <w:t>晴</w:t>
                  </w:r>
                </w:p>
              </w:tc>
              <w:tc>
                <w:tcPr>
                  <w:tcW w:w="761" w:type="pct"/>
                  <w:vAlign w:val="center"/>
                </w:tcPr>
                <w:p w14:paraId="2078FD1D">
                  <w:pPr>
                    <w:adjustRightInd w:val="0"/>
                    <w:snapToGrid w:val="0"/>
                    <w:jc w:val="center"/>
                    <w:textAlignment w:val="baseline"/>
                    <w:rPr>
                      <w:rFonts w:hint="default" w:eastAsia="宋体"/>
                      <w:color w:val="auto"/>
                      <w:kern w:val="0"/>
                      <w:szCs w:val="21"/>
                      <w:highlight w:val="none"/>
                      <w:lang w:val="en-US" w:eastAsia="zh-CN"/>
                    </w:rPr>
                  </w:pPr>
                  <w:r>
                    <w:rPr>
                      <w:rFonts w:hint="eastAsia"/>
                      <w:color w:val="auto"/>
                      <w:kern w:val="0"/>
                      <w:szCs w:val="21"/>
                      <w:highlight w:val="none"/>
                      <w:lang w:val="en-US" w:eastAsia="zh-CN"/>
                    </w:rPr>
                    <w:t>27</w:t>
                  </w:r>
                  <w:r>
                    <w:rPr>
                      <w:color w:val="auto"/>
                      <w:kern w:val="0"/>
                      <w:szCs w:val="21"/>
                      <w:highlight w:val="none"/>
                    </w:rPr>
                    <w:t>~</w:t>
                  </w:r>
                  <w:r>
                    <w:rPr>
                      <w:rFonts w:hint="eastAsia"/>
                      <w:color w:val="auto"/>
                      <w:kern w:val="0"/>
                      <w:szCs w:val="21"/>
                      <w:highlight w:val="none"/>
                      <w:lang w:val="en-US" w:eastAsia="zh-CN"/>
                    </w:rPr>
                    <w:t>32</w:t>
                  </w:r>
                </w:p>
              </w:tc>
              <w:tc>
                <w:tcPr>
                  <w:tcW w:w="761" w:type="pct"/>
                  <w:vAlign w:val="center"/>
                </w:tcPr>
                <w:p w14:paraId="5C93027F">
                  <w:pPr>
                    <w:adjustRightInd w:val="0"/>
                    <w:snapToGrid w:val="0"/>
                    <w:jc w:val="center"/>
                    <w:textAlignment w:val="baseline"/>
                    <w:rPr>
                      <w:rFonts w:hint="default" w:eastAsia="宋体"/>
                      <w:color w:val="auto"/>
                      <w:kern w:val="0"/>
                      <w:szCs w:val="21"/>
                      <w:highlight w:val="none"/>
                      <w:lang w:val="en-US" w:eastAsia="zh-CN"/>
                    </w:rPr>
                  </w:pPr>
                  <w:r>
                    <w:rPr>
                      <w:rFonts w:hint="eastAsia"/>
                      <w:color w:val="auto"/>
                      <w:kern w:val="0"/>
                      <w:szCs w:val="21"/>
                      <w:highlight w:val="none"/>
                      <w:lang w:val="en-US" w:eastAsia="zh-CN"/>
                    </w:rPr>
                    <w:t>51</w:t>
                  </w:r>
                  <w:r>
                    <w:rPr>
                      <w:color w:val="auto"/>
                      <w:kern w:val="0"/>
                      <w:szCs w:val="21"/>
                      <w:highlight w:val="none"/>
                    </w:rPr>
                    <w:t>~</w:t>
                  </w:r>
                  <w:r>
                    <w:rPr>
                      <w:rFonts w:hint="eastAsia"/>
                      <w:color w:val="auto"/>
                      <w:kern w:val="0"/>
                      <w:szCs w:val="21"/>
                      <w:highlight w:val="none"/>
                      <w:lang w:val="en-US" w:eastAsia="zh-CN"/>
                    </w:rPr>
                    <w:t>56</w:t>
                  </w:r>
                </w:p>
              </w:tc>
              <w:tc>
                <w:tcPr>
                  <w:tcW w:w="761" w:type="pct"/>
                  <w:vAlign w:val="center"/>
                </w:tcPr>
                <w:p w14:paraId="0ED3AE7D">
                  <w:pPr>
                    <w:adjustRightInd w:val="0"/>
                    <w:snapToGrid w:val="0"/>
                    <w:jc w:val="center"/>
                    <w:textAlignment w:val="baseline"/>
                    <w:rPr>
                      <w:rFonts w:hint="default" w:eastAsia="宋体"/>
                      <w:color w:val="auto"/>
                      <w:kern w:val="0"/>
                      <w:szCs w:val="21"/>
                      <w:highlight w:val="none"/>
                      <w:lang w:val="en-US" w:eastAsia="zh-CN"/>
                    </w:rPr>
                  </w:pPr>
                  <w:r>
                    <w:rPr>
                      <w:rFonts w:hint="eastAsia"/>
                      <w:color w:val="auto"/>
                      <w:kern w:val="0"/>
                      <w:szCs w:val="21"/>
                      <w:highlight w:val="none"/>
                      <w:lang w:val="en-US" w:eastAsia="zh-CN"/>
                    </w:rPr>
                    <w:t>0.2</w:t>
                  </w:r>
                  <w:r>
                    <w:rPr>
                      <w:color w:val="auto"/>
                      <w:kern w:val="0"/>
                      <w:szCs w:val="21"/>
                      <w:highlight w:val="none"/>
                    </w:rPr>
                    <w:t>~</w:t>
                  </w:r>
                  <w:r>
                    <w:rPr>
                      <w:rFonts w:hint="eastAsia"/>
                      <w:color w:val="auto"/>
                      <w:kern w:val="0"/>
                      <w:szCs w:val="21"/>
                      <w:highlight w:val="none"/>
                      <w:lang w:val="en-US" w:eastAsia="zh-CN"/>
                    </w:rPr>
                    <w:t>1.9</w:t>
                  </w:r>
                </w:p>
              </w:tc>
            </w:tr>
          </w:tbl>
          <w:p w14:paraId="5B97C128">
            <w:pPr>
              <w:keepNext/>
              <w:keepLines/>
              <w:tabs>
                <w:tab w:val="left" w:pos="420"/>
                <w:tab w:val="left" w:pos="567"/>
              </w:tabs>
              <w:spacing w:before="20" w:after="20" w:line="360" w:lineRule="auto"/>
              <w:jc w:val="left"/>
              <w:outlineLvl w:val="1"/>
              <w:rPr>
                <w:b/>
                <w:bCs/>
                <w:color w:val="auto"/>
                <w:sz w:val="24"/>
                <w:highlight w:val="none"/>
              </w:rPr>
            </w:pPr>
            <w:r>
              <w:rPr>
                <w:b/>
                <w:bCs/>
                <w:color w:val="auto"/>
                <w:sz w:val="24"/>
                <w:highlight w:val="none"/>
              </w:rPr>
              <w:t>4</w:t>
            </w:r>
            <w:r>
              <w:rPr>
                <w:rFonts w:hint="eastAsia"/>
                <w:b/>
                <w:bCs/>
                <w:color w:val="auto"/>
                <w:sz w:val="24"/>
                <w:highlight w:val="none"/>
              </w:rPr>
              <w:t>.5</w:t>
            </w:r>
            <w:r>
              <w:rPr>
                <w:b/>
                <w:bCs/>
                <w:color w:val="auto"/>
                <w:sz w:val="24"/>
                <w:highlight w:val="none"/>
              </w:rPr>
              <w:t>监测方法及仪器</w:t>
            </w:r>
          </w:p>
          <w:p w14:paraId="67D9F990">
            <w:pPr>
              <w:adjustRightInd w:val="0"/>
              <w:spacing w:line="360" w:lineRule="auto"/>
              <w:ind w:firstLine="480" w:firstLineChars="200"/>
              <w:jc w:val="left"/>
              <w:textAlignment w:val="baseline"/>
              <w:rPr>
                <w:rFonts w:hAnsi="宋体"/>
                <w:color w:val="auto"/>
                <w:kern w:val="0"/>
                <w:sz w:val="24"/>
                <w:highlight w:val="none"/>
              </w:rPr>
            </w:pPr>
            <w:r>
              <w:rPr>
                <w:rFonts w:hAnsi="宋体"/>
                <w:color w:val="auto"/>
                <w:kern w:val="0"/>
                <w:sz w:val="24"/>
                <w:highlight w:val="none"/>
              </w:rPr>
              <w:t>（1）监测方法</w:t>
            </w:r>
          </w:p>
          <w:p w14:paraId="482D5147">
            <w:pPr>
              <w:adjustRightInd w:val="0"/>
              <w:spacing w:line="360" w:lineRule="auto"/>
              <w:ind w:firstLine="480" w:firstLineChars="200"/>
              <w:jc w:val="left"/>
              <w:textAlignment w:val="baseline"/>
              <w:rPr>
                <w:color w:val="auto"/>
                <w:sz w:val="24"/>
                <w:highlight w:val="none"/>
              </w:rPr>
            </w:pPr>
            <w:r>
              <w:rPr>
                <w:rFonts w:hint="eastAsia" w:ascii="宋体" w:hAnsi="宋体"/>
                <w:color w:val="auto"/>
                <w:sz w:val="24"/>
                <w:highlight w:val="none"/>
              </w:rPr>
              <w:t>《声环境质量</w:t>
            </w:r>
            <w:r>
              <w:rPr>
                <w:color w:val="auto"/>
                <w:sz w:val="24"/>
                <w:highlight w:val="none"/>
              </w:rPr>
              <w:t>标准》（GB3096-2008）</w:t>
            </w:r>
          </w:p>
          <w:p w14:paraId="0F1FC9D0">
            <w:pPr>
              <w:adjustRightInd w:val="0"/>
              <w:spacing w:line="360" w:lineRule="auto"/>
              <w:ind w:firstLine="480" w:firstLineChars="200"/>
              <w:jc w:val="left"/>
              <w:textAlignment w:val="baseline"/>
              <w:rPr>
                <w:color w:val="auto"/>
                <w:kern w:val="0"/>
                <w:sz w:val="24"/>
                <w:highlight w:val="none"/>
              </w:rPr>
            </w:pPr>
            <w:r>
              <w:rPr>
                <w:rFonts w:hAnsi="宋体"/>
                <w:color w:val="auto"/>
                <w:kern w:val="0"/>
                <w:sz w:val="24"/>
                <w:highlight w:val="none"/>
              </w:rPr>
              <w:t>（</w:t>
            </w:r>
            <w:r>
              <w:rPr>
                <w:color w:val="auto"/>
                <w:kern w:val="0"/>
                <w:sz w:val="24"/>
                <w:highlight w:val="none"/>
              </w:rPr>
              <w:t>2</w:t>
            </w:r>
            <w:r>
              <w:rPr>
                <w:rFonts w:hAnsi="宋体"/>
                <w:color w:val="auto"/>
                <w:kern w:val="0"/>
                <w:sz w:val="24"/>
                <w:highlight w:val="none"/>
              </w:rPr>
              <w:t>）监测仪器</w:t>
            </w:r>
          </w:p>
          <w:p w14:paraId="518DF6EB">
            <w:pPr>
              <w:widowControl/>
              <w:spacing w:line="360" w:lineRule="auto"/>
              <w:ind w:firstLine="480" w:firstLineChars="200"/>
              <w:jc w:val="left"/>
              <w:rPr>
                <w:color w:val="auto"/>
                <w:kern w:val="0"/>
                <w:sz w:val="24"/>
                <w:highlight w:val="none"/>
              </w:rPr>
            </w:pPr>
            <w:r>
              <w:rPr>
                <w:rFonts w:hAnsi="宋体"/>
                <w:color w:val="auto"/>
                <w:kern w:val="0"/>
                <w:sz w:val="24"/>
                <w:highlight w:val="none"/>
              </w:rPr>
              <w:t>监测仪器情况见表</w:t>
            </w:r>
            <w:r>
              <w:rPr>
                <w:color w:val="auto"/>
                <w:kern w:val="0"/>
                <w:sz w:val="24"/>
                <w:highlight w:val="none"/>
              </w:rPr>
              <w:t>3-</w:t>
            </w:r>
            <w:r>
              <w:rPr>
                <w:rFonts w:hint="eastAsia"/>
                <w:color w:val="auto"/>
                <w:kern w:val="0"/>
                <w:sz w:val="24"/>
                <w:highlight w:val="none"/>
              </w:rPr>
              <w:t>3</w:t>
            </w:r>
            <w:r>
              <w:rPr>
                <w:rFonts w:hAnsi="宋体"/>
                <w:color w:val="auto"/>
                <w:kern w:val="0"/>
                <w:sz w:val="24"/>
                <w:highlight w:val="none"/>
              </w:rPr>
              <w:t>。</w:t>
            </w:r>
          </w:p>
          <w:p w14:paraId="4E4684B7">
            <w:pPr>
              <w:pStyle w:val="23"/>
              <w:numPr>
                <w:ilvl w:val="0"/>
                <w:numId w:val="5"/>
              </w:numPr>
              <w:tabs>
                <w:tab w:val="right" w:pos="5142"/>
              </w:tabs>
              <w:ind w:left="0" w:leftChars="0" w:firstLine="0" w:firstLineChars="0"/>
              <w:jc w:val="center"/>
              <w:rPr>
                <w:rFonts w:ascii="Times New Roman" w:hAnsi="Times New Roman"/>
                <w:b/>
                <w:color w:val="auto"/>
                <w:sz w:val="24"/>
                <w:szCs w:val="24"/>
                <w:highlight w:val="none"/>
              </w:rPr>
            </w:pPr>
            <w:r>
              <w:rPr>
                <w:rFonts w:ascii="Times New Roman" w:hAnsi="Times New Roman"/>
                <w:b/>
                <w:color w:val="auto"/>
                <w:sz w:val="24"/>
                <w:szCs w:val="24"/>
                <w:highlight w:val="none"/>
              </w:rPr>
              <w:t xml:space="preserve">  本</w:t>
            </w:r>
            <w:r>
              <w:rPr>
                <w:rFonts w:hint="eastAsia" w:ascii="Times New Roman" w:hAnsi="Times New Roman"/>
                <w:b/>
                <w:color w:val="auto"/>
                <w:sz w:val="24"/>
                <w:szCs w:val="24"/>
                <w:highlight w:val="none"/>
              </w:rPr>
              <w:t>项目</w:t>
            </w:r>
            <w:r>
              <w:rPr>
                <w:rFonts w:ascii="Times New Roman" w:hAnsi="Times New Roman"/>
                <w:b/>
                <w:color w:val="auto"/>
                <w:sz w:val="24"/>
                <w:szCs w:val="24"/>
                <w:highlight w:val="none"/>
              </w:rPr>
              <w:t>噪声监测仪器一览表</w:t>
            </w:r>
          </w:p>
          <w:tbl>
            <w:tblPr>
              <w:tblStyle w:val="44"/>
              <w:tblW w:w="4999"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426"/>
              <w:gridCol w:w="1288"/>
              <w:gridCol w:w="2221"/>
              <w:gridCol w:w="1710"/>
              <w:gridCol w:w="1558"/>
              <w:gridCol w:w="1518"/>
            </w:tblGrid>
            <w:tr w14:paraId="3A1147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trPr>
              <w:tc>
                <w:tcPr>
                  <w:tcW w:w="244" w:type="pct"/>
                  <w:vAlign w:val="center"/>
                </w:tcPr>
                <w:p w14:paraId="101764BA">
                  <w:pPr>
                    <w:adjustRightInd w:val="0"/>
                    <w:snapToGrid w:val="0"/>
                    <w:jc w:val="center"/>
                    <w:rPr>
                      <w:color w:val="auto"/>
                      <w:szCs w:val="21"/>
                      <w:highlight w:val="none"/>
                    </w:rPr>
                  </w:pPr>
                  <w:r>
                    <w:rPr>
                      <w:color w:val="auto"/>
                      <w:szCs w:val="21"/>
                      <w:highlight w:val="none"/>
                    </w:rPr>
                    <w:t>序号</w:t>
                  </w:r>
                </w:p>
              </w:tc>
              <w:tc>
                <w:tcPr>
                  <w:tcW w:w="739" w:type="pct"/>
                  <w:vAlign w:val="center"/>
                </w:tcPr>
                <w:p w14:paraId="6C7FEB0D">
                  <w:pPr>
                    <w:adjustRightInd w:val="0"/>
                    <w:snapToGrid w:val="0"/>
                    <w:jc w:val="center"/>
                    <w:rPr>
                      <w:color w:val="auto"/>
                      <w:szCs w:val="21"/>
                      <w:highlight w:val="none"/>
                    </w:rPr>
                  </w:pPr>
                  <w:r>
                    <w:rPr>
                      <w:color w:val="auto"/>
                      <w:szCs w:val="21"/>
                      <w:highlight w:val="none"/>
                    </w:rPr>
                    <w:t>仪器设备</w:t>
                  </w:r>
                </w:p>
              </w:tc>
              <w:tc>
                <w:tcPr>
                  <w:tcW w:w="1273" w:type="pct"/>
                  <w:vAlign w:val="center"/>
                </w:tcPr>
                <w:p w14:paraId="0269521E">
                  <w:pPr>
                    <w:adjustRightInd w:val="0"/>
                    <w:snapToGrid w:val="0"/>
                    <w:jc w:val="center"/>
                    <w:rPr>
                      <w:color w:val="auto"/>
                      <w:szCs w:val="21"/>
                      <w:highlight w:val="none"/>
                    </w:rPr>
                  </w:pPr>
                  <w:r>
                    <w:rPr>
                      <w:color w:val="auto"/>
                      <w:szCs w:val="21"/>
                      <w:highlight w:val="none"/>
                    </w:rPr>
                    <w:t>有效期起止时间</w:t>
                  </w:r>
                </w:p>
              </w:tc>
              <w:tc>
                <w:tcPr>
                  <w:tcW w:w="980" w:type="pct"/>
                  <w:vAlign w:val="center"/>
                </w:tcPr>
                <w:p w14:paraId="1D7FF27C">
                  <w:pPr>
                    <w:adjustRightInd w:val="0"/>
                    <w:snapToGrid w:val="0"/>
                    <w:jc w:val="center"/>
                    <w:rPr>
                      <w:color w:val="auto"/>
                      <w:szCs w:val="21"/>
                      <w:highlight w:val="none"/>
                    </w:rPr>
                  </w:pPr>
                  <w:r>
                    <w:rPr>
                      <w:rFonts w:hint="eastAsia"/>
                      <w:color w:val="auto"/>
                      <w:szCs w:val="21"/>
                      <w:highlight w:val="none"/>
                    </w:rPr>
                    <w:t>检定</w:t>
                  </w:r>
                  <w:r>
                    <w:rPr>
                      <w:color w:val="auto"/>
                      <w:szCs w:val="21"/>
                      <w:highlight w:val="none"/>
                    </w:rPr>
                    <w:t>证书编号</w:t>
                  </w:r>
                </w:p>
              </w:tc>
              <w:tc>
                <w:tcPr>
                  <w:tcW w:w="893" w:type="pct"/>
                  <w:vAlign w:val="center"/>
                </w:tcPr>
                <w:p w14:paraId="5086519F">
                  <w:pPr>
                    <w:adjustRightInd w:val="0"/>
                    <w:snapToGrid w:val="0"/>
                    <w:jc w:val="center"/>
                    <w:rPr>
                      <w:rFonts w:hint="default" w:eastAsia="宋体"/>
                      <w:color w:val="auto"/>
                      <w:szCs w:val="21"/>
                      <w:highlight w:val="none"/>
                      <w:lang w:val="en-US" w:eastAsia="zh-CN"/>
                    </w:rPr>
                  </w:pPr>
                  <w:r>
                    <w:rPr>
                      <w:color w:val="auto"/>
                      <w:szCs w:val="21"/>
                      <w:highlight w:val="none"/>
                    </w:rPr>
                    <w:t>测量范围</w:t>
                  </w:r>
                  <w:r>
                    <w:rPr>
                      <w:rFonts w:hint="eastAsia"/>
                      <w:color w:val="auto"/>
                      <w:highlight w:val="none"/>
                      <w:lang w:val="en-US" w:eastAsia="zh-CN"/>
                    </w:rPr>
                    <w:t>/标称声压级</w:t>
                  </w:r>
                </w:p>
              </w:tc>
              <w:tc>
                <w:tcPr>
                  <w:tcW w:w="870" w:type="pct"/>
                  <w:vAlign w:val="center"/>
                </w:tcPr>
                <w:p w14:paraId="4BF611AF">
                  <w:pPr>
                    <w:adjustRightInd w:val="0"/>
                    <w:snapToGrid w:val="0"/>
                    <w:jc w:val="center"/>
                    <w:rPr>
                      <w:color w:val="auto"/>
                      <w:szCs w:val="21"/>
                      <w:highlight w:val="none"/>
                    </w:rPr>
                  </w:pPr>
                  <w:r>
                    <w:rPr>
                      <w:rFonts w:hint="eastAsia"/>
                      <w:color w:val="auto"/>
                      <w:szCs w:val="21"/>
                      <w:highlight w:val="none"/>
                    </w:rPr>
                    <w:t>检定</w:t>
                  </w:r>
                  <w:r>
                    <w:rPr>
                      <w:color w:val="auto"/>
                      <w:szCs w:val="21"/>
                      <w:highlight w:val="none"/>
                    </w:rPr>
                    <w:t>单位</w:t>
                  </w:r>
                </w:p>
              </w:tc>
            </w:tr>
            <w:tr w14:paraId="6CA45D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244" w:type="pct"/>
                  <w:vAlign w:val="center"/>
                </w:tcPr>
                <w:p w14:paraId="43DDE8CD">
                  <w:pPr>
                    <w:adjustRightInd w:val="0"/>
                    <w:snapToGrid w:val="0"/>
                    <w:jc w:val="center"/>
                    <w:rPr>
                      <w:color w:val="auto"/>
                      <w:szCs w:val="21"/>
                      <w:highlight w:val="none"/>
                    </w:rPr>
                  </w:pPr>
                  <w:r>
                    <w:rPr>
                      <w:color w:val="auto"/>
                      <w:szCs w:val="21"/>
                      <w:highlight w:val="none"/>
                    </w:rPr>
                    <w:t>1</w:t>
                  </w:r>
                </w:p>
              </w:tc>
              <w:tc>
                <w:tcPr>
                  <w:tcW w:w="739" w:type="pct"/>
                  <w:vAlign w:val="center"/>
                </w:tcPr>
                <w:p w14:paraId="3338C87B">
                  <w:pPr>
                    <w:adjustRightInd w:val="0"/>
                    <w:snapToGrid w:val="0"/>
                    <w:jc w:val="center"/>
                    <w:textAlignment w:val="baseline"/>
                    <w:rPr>
                      <w:rFonts w:hAnsi="宋体"/>
                      <w:color w:val="auto"/>
                      <w:kern w:val="0"/>
                      <w:szCs w:val="21"/>
                      <w:highlight w:val="none"/>
                    </w:rPr>
                  </w:pPr>
                  <w:r>
                    <w:rPr>
                      <w:color w:val="auto"/>
                      <w:szCs w:val="18"/>
                      <w:highlight w:val="none"/>
                    </w:rPr>
                    <w:t>AWA6228+</w:t>
                  </w:r>
                  <w:r>
                    <w:rPr>
                      <w:rFonts w:hint="eastAsia"/>
                      <w:color w:val="auto"/>
                      <w:szCs w:val="18"/>
                      <w:highlight w:val="none"/>
                    </w:rPr>
                    <w:t>型多功能声级计</w:t>
                  </w:r>
                </w:p>
              </w:tc>
              <w:tc>
                <w:tcPr>
                  <w:tcW w:w="1273" w:type="pct"/>
                  <w:vAlign w:val="center"/>
                </w:tcPr>
                <w:p w14:paraId="246FDF84">
                  <w:pPr>
                    <w:wordWrap w:val="0"/>
                    <w:topLinePunct/>
                    <w:adjustRightInd w:val="0"/>
                    <w:snapToGrid w:val="0"/>
                    <w:jc w:val="center"/>
                    <w:textAlignment w:val="baseline"/>
                    <w:rPr>
                      <w:rFonts w:hint="eastAsia" w:hAnsi="宋体" w:eastAsia="宋体"/>
                      <w:color w:val="auto"/>
                      <w:kern w:val="0"/>
                      <w:szCs w:val="21"/>
                      <w:highlight w:val="none"/>
                      <w:lang w:eastAsia="zh-CN"/>
                    </w:rPr>
                  </w:pPr>
                  <w:r>
                    <w:rPr>
                      <w:color w:val="auto"/>
                      <w:szCs w:val="18"/>
                      <w:highlight w:val="none"/>
                    </w:rPr>
                    <w:t>202</w:t>
                  </w:r>
                  <w:r>
                    <w:rPr>
                      <w:rFonts w:hint="eastAsia"/>
                      <w:color w:val="auto"/>
                      <w:szCs w:val="18"/>
                      <w:highlight w:val="none"/>
                      <w:lang w:val="en-US" w:eastAsia="zh-CN"/>
                    </w:rPr>
                    <w:t>5</w:t>
                  </w:r>
                  <w:r>
                    <w:rPr>
                      <w:color w:val="auto"/>
                      <w:szCs w:val="18"/>
                      <w:highlight w:val="none"/>
                    </w:rPr>
                    <w:t>.12.</w:t>
                  </w:r>
                  <w:r>
                    <w:rPr>
                      <w:rFonts w:hint="eastAsia"/>
                      <w:color w:val="auto"/>
                      <w:szCs w:val="18"/>
                      <w:highlight w:val="none"/>
                      <w:lang w:val="en-US" w:eastAsia="zh-CN"/>
                    </w:rPr>
                    <w:t>11</w:t>
                  </w:r>
                  <w:r>
                    <w:rPr>
                      <w:color w:val="auto"/>
                      <w:szCs w:val="18"/>
                      <w:highlight w:val="none"/>
                    </w:rPr>
                    <w:t>~202</w:t>
                  </w:r>
                  <w:r>
                    <w:rPr>
                      <w:rFonts w:hint="eastAsia"/>
                      <w:color w:val="auto"/>
                      <w:szCs w:val="18"/>
                      <w:highlight w:val="none"/>
                      <w:lang w:val="en-US" w:eastAsia="zh-CN"/>
                    </w:rPr>
                    <w:t>6</w:t>
                  </w:r>
                  <w:r>
                    <w:rPr>
                      <w:color w:val="auto"/>
                      <w:szCs w:val="18"/>
                      <w:highlight w:val="none"/>
                    </w:rPr>
                    <w:t>.12.1</w:t>
                  </w:r>
                  <w:r>
                    <w:rPr>
                      <w:rFonts w:hint="eastAsia"/>
                      <w:color w:val="auto"/>
                      <w:szCs w:val="18"/>
                      <w:highlight w:val="none"/>
                      <w:lang w:val="en-US" w:eastAsia="zh-CN"/>
                    </w:rPr>
                    <w:t>0</w:t>
                  </w:r>
                </w:p>
              </w:tc>
              <w:tc>
                <w:tcPr>
                  <w:tcW w:w="980" w:type="pct"/>
                  <w:vAlign w:val="center"/>
                </w:tcPr>
                <w:p w14:paraId="72DE93B5">
                  <w:pPr>
                    <w:adjustRightInd w:val="0"/>
                    <w:snapToGrid w:val="0"/>
                    <w:jc w:val="center"/>
                    <w:textAlignment w:val="baseline"/>
                    <w:rPr>
                      <w:rFonts w:hAnsi="宋体"/>
                      <w:color w:val="auto"/>
                      <w:kern w:val="0"/>
                      <w:szCs w:val="21"/>
                      <w:highlight w:val="none"/>
                    </w:rPr>
                  </w:pPr>
                  <w:r>
                    <w:rPr>
                      <w:rFonts w:hint="eastAsia"/>
                      <w:color w:val="auto"/>
                      <w:szCs w:val="18"/>
                      <w:highlight w:val="none"/>
                    </w:rPr>
                    <w:t>1025BR0101723</w:t>
                  </w:r>
                  <w:r>
                    <w:rPr>
                      <w:color w:val="auto"/>
                      <w:szCs w:val="18"/>
                      <w:highlight w:val="none"/>
                    </w:rPr>
                    <w:t xml:space="preserve"> </w:t>
                  </w:r>
                </w:p>
              </w:tc>
              <w:tc>
                <w:tcPr>
                  <w:tcW w:w="893" w:type="pct"/>
                  <w:vAlign w:val="center"/>
                </w:tcPr>
                <w:p w14:paraId="5FD56EE7">
                  <w:pPr>
                    <w:adjustRightInd w:val="0"/>
                    <w:snapToGrid w:val="0"/>
                    <w:jc w:val="center"/>
                    <w:textAlignment w:val="baseline"/>
                    <w:rPr>
                      <w:rFonts w:hint="eastAsia" w:ascii="Times New Roman" w:hAnsi="Times New Roman" w:eastAsia="宋体"/>
                      <w:color w:val="auto"/>
                      <w:szCs w:val="18"/>
                      <w:highlight w:val="none"/>
                      <w:lang w:eastAsia="zh-CN"/>
                    </w:rPr>
                  </w:pPr>
                  <w:r>
                    <w:rPr>
                      <w:color w:val="auto"/>
                      <w:szCs w:val="18"/>
                      <w:highlight w:val="none"/>
                    </w:rPr>
                    <w:t>20~132dB</w:t>
                  </w:r>
                  <w:r>
                    <w:rPr>
                      <w:rFonts w:hint="eastAsia"/>
                      <w:color w:val="auto"/>
                      <w:szCs w:val="18"/>
                      <w:highlight w:val="none"/>
                      <w:lang w:eastAsia="zh-CN"/>
                    </w:rPr>
                    <w:t>(A)</w:t>
                  </w:r>
                </w:p>
              </w:tc>
              <w:tc>
                <w:tcPr>
                  <w:tcW w:w="870" w:type="pct"/>
                  <w:vAlign w:val="center"/>
                </w:tcPr>
                <w:p w14:paraId="1A0C8058">
                  <w:pPr>
                    <w:adjustRightInd w:val="0"/>
                    <w:snapToGrid w:val="0"/>
                    <w:jc w:val="center"/>
                    <w:textAlignment w:val="baseline"/>
                    <w:rPr>
                      <w:rFonts w:ascii="Times New Roman" w:hAnsi="Times New Roman"/>
                      <w:color w:val="auto"/>
                      <w:szCs w:val="18"/>
                      <w:highlight w:val="none"/>
                    </w:rPr>
                  </w:pPr>
                  <w:r>
                    <w:rPr>
                      <w:rFonts w:hint="eastAsia"/>
                      <w:color w:val="auto"/>
                      <w:szCs w:val="18"/>
                      <w:highlight w:val="none"/>
                    </w:rPr>
                    <w:t>河南省计量测试科学研究院</w:t>
                  </w:r>
                </w:p>
              </w:tc>
            </w:tr>
            <w:tr w14:paraId="5BEF33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244" w:type="pct"/>
                  <w:vAlign w:val="center"/>
                </w:tcPr>
                <w:p w14:paraId="78938913">
                  <w:pPr>
                    <w:adjustRightInd w:val="0"/>
                    <w:snapToGrid w:val="0"/>
                    <w:jc w:val="center"/>
                    <w:rPr>
                      <w:color w:val="auto"/>
                      <w:szCs w:val="21"/>
                      <w:highlight w:val="none"/>
                    </w:rPr>
                  </w:pPr>
                  <w:r>
                    <w:rPr>
                      <w:color w:val="auto"/>
                      <w:szCs w:val="21"/>
                      <w:highlight w:val="none"/>
                    </w:rPr>
                    <w:t>2</w:t>
                  </w:r>
                </w:p>
              </w:tc>
              <w:tc>
                <w:tcPr>
                  <w:tcW w:w="739" w:type="pct"/>
                  <w:vAlign w:val="center"/>
                </w:tcPr>
                <w:p w14:paraId="4EFEA2C0">
                  <w:pPr>
                    <w:adjustRightInd w:val="0"/>
                    <w:snapToGrid w:val="0"/>
                    <w:jc w:val="center"/>
                    <w:textAlignment w:val="baseline"/>
                    <w:rPr>
                      <w:rFonts w:hAnsi="宋体"/>
                      <w:color w:val="auto"/>
                      <w:kern w:val="0"/>
                      <w:szCs w:val="21"/>
                      <w:highlight w:val="none"/>
                    </w:rPr>
                  </w:pPr>
                  <w:r>
                    <w:rPr>
                      <w:color w:val="auto"/>
                      <w:szCs w:val="18"/>
                      <w:highlight w:val="none"/>
                    </w:rPr>
                    <w:t>AWA6021A</w:t>
                  </w:r>
                  <w:r>
                    <w:rPr>
                      <w:rFonts w:hint="eastAsia"/>
                      <w:color w:val="auto"/>
                      <w:szCs w:val="18"/>
                      <w:highlight w:val="none"/>
                    </w:rPr>
                    <w:t>声校准器</w:t>
                  </w:r>
                </w:p>
              </w:tc>
              <w:tc>
                <w:tcPr>
                  <w:tcW w:w="1273" w:type="pct"/>
                  <w:vAlign w:val="center"/>
                </w:tcPr>
                <w:p w14:paraId="19B67B8A">
                  <w:pPr>
                    <w:wordWrap w:val="0"/>
                    <w:topLinePunct/>
                    <w:adjustRightInd w:val="0"/>
                    <w:snapToGrid w:val="0"/>
                    <w:jc w:val="center"/>
                    <w:textAlignment w:val="baseline"/>
                    <w:rPr>
                      <w:rFonts w:hint="default" w:hAnsi="宋体" w:eastAsia="宋体"/>
                      <w:color w:val="auto"/>
                      <w:kern w:val="0"/>
                      <w:szCs w:val="21"/>
                      <w:highlight w:val="none"/>
                      <w:lang w:val="en-US" w:eastAsia="zh-CN"/>
                    </w:rPr>
                  </w:pPr>
                  <w:r>
                    <w:rPr>
                      <w:color w:val="auto"/>
                      <w:szCs w:val="18"/>
                      <w:highlight w:val="none"/>
                    </w:rPr>
                    <w:t>202</w:t>
                  </w:r>
                  <w:r>
                    <w:rPr>
                      <w:rFonts w:hint="eastAsia"/>
                      <w:color w:val="auto"/>
                      <w:szCs w:val="18"/>
                      <w:highlight w:val="none"/>
                      <w:lang w:val="en-US" w:eastAsia="zh-CN"/>
                    </w:rPr>
                    <w:t>5</w:t>
                  </w:r>
                  <w:r>
                    <w:rPr>
                      <w:color w:val="auto"/>
                      <w:szCs w:val="18"/>
                      <w:highlight w:val="none"/>
                    </w:rPr>
                    <w:t>.12.</w:t>
                  </w:r>
                  <w:r>
                    <w:rPr>
                      <w:rFonts w:hint="eastAsia"/>
                      <w:color w:val="auto"/>
                      <w:szCs w:val="18"/>
                      <w:highlight w:val="none"/>
                      <w:lang w:val="en-US" w:eastAsia="zh-CN"/>
                    </w:rPr>
                    <w:t>25</w:t>
                  </w:r>
                  <w:r>
                    <w:rPr>
                      <w:color w:val="auto"/>
                      <w:szCs w:val="18"/>
                      <w:highlight w:val="none"/>
                    </w:rPr>
                    <w:t>~202</w:t>
                  </w:r>
                  <w:r>
                    <w:rPr>
                      <w:rFonts w:hint="eastAsia"/>
                      <w:color w:val="auto"/>
                      <w:szCs w:val="18"/>
                      <w:highlight w:val="none"/>
                      <w:lang w:val="en-US" w:eastAsia="zh-CN"/>
                    </w:rPr>
                    <w:t>6</w:t>
                  </w:r>
                  <w:r>
                    <w:rPr>
                      <w:color w:val="auto"/>
                      <w:szCs w:val="18"/>
                      <w:highlight w:val="none"/>
                    </w:rPr>
                    <w:t>.12.</w:t>
                  </w:r>
                  <w:r>
                    <w:rPr>
                      <w:rFonts w:hint="eastAsia"/>
                      <w:color w:val="auto"/>
                      <w:szCs w:val="18"/>
                      <w:highlight w:val="none"/>
                      <w:lang w:val="en-US" w:eastAsia="zh-CN"/>
                    </w:rPr>
                    <w:t>24</w:t>
                  </w:r>
                </w:p>
              </w:tc>
              <w:tc>
                <w:tcPr>
                  <w:tcW w:w="980" w:type="pct"/>
                  <w:vAlign w:val="center"/>
                </w:tcPr>
                <w:p w14:paraId="08AE242B">
                  <w:pPr>
                    <w:adjustRightInd w:val="0"/>
                    <w:snapToGrid w:val="0"/>
                    <w:jc w:val="center"/>
                    <w:textAlignment w:val="baseline"/>
                    <w:rPr>
                      <w:rFonts w:hAnsi="宋体"/>
                      <w:color w:val="auto"/>
                      <w:kern w:val="0"/>
                      <w:szCs w:val="21"/>
                      <w:highlight w:val="none"/>
                    </w:rPr>
                  </w:pPr>
                  <w:r>
                    <w:rPr>
                      <w:rFonts w:hint="eastAsia" w:hAnsi="宋体"/>
                      <w:color w:val="auto"/>
                      <w:kern w:val="0"/>
                      <w:szCs w:val="21"/>
                      <w:highlight w:val="none"/>
                    </w:rPr>
                    <w:t>1025BR0200542</w:t>
                  </w:r>
                </w:p>
              </w:tc>
              <w:tc>
                <w:tcPr>
                  <w:tcW w:w="893" w:type="pct"/>
                  <w:vAlign w:val="center"/>
                </w:tcPr>
                <w:p w14:paraId="1BAE4098">
                  <w:pPr>
                    <w:adjustRightInd w:val="0"/>
                    <w:snapToGrid w:val="0"/>
                    <w:jc w:val="center"/>
                    <w:textAlignment w:val="baseline"/>
                    <w:rPr>
                      <w:rFonts w:hint="eastAsia" w:eastAsia="宋体"/>
                      <w:color w:val="auto"/>
                      <w:spacing w:val="-10"/>
                      <w:szCs w:val="21"/>
                      <w:highlight w:val="none"/>
                      <w:lang w:eastAsia="zh-CN"/>
                    </w:rPr>
                  </w:pPr>
                  <w:r>
                    <w:rPr>
                      <w:color w:val="auto"/>
                      <w:szCs w:val="18"/>
                      <w:highlight w:val="none"/>
                    </w:rPr>
                    <w:t>114dB</w:t>
                  </w:r>
                  <w:r>
                    <w:rPr>
                      <w:rFonts w:hint="eastAsia"/>
                      <w:color w:val="auto"/>
                      <w:szCs w:val="18"/>
                      <w:highlight w:val="none"/>
                      <w:lang w:eastAsia="zh-CN"/>
                    </w:rPr>
                    <w:t>(A)</w:t>
                  </w:r>
                  <w:r>
                    <w:rPr>
                      <w:rFonts w:hint="eastAsia"/>
                      <w:color w:val="auto"/>
                      <w:szCs w:val="18"/>
                      <w:highlight w:val="none"/>
                    </w:rPr>
                    <w:t>和</w:t>
                  </w:r>
                  <w:r>
                    <w:rPr>
                      <w:color w:val="auto"/>
                      <w:szCs w:val="18"/>
                      <w:highlight w:val="none"/>
                    </w:rPr>
                    <w:t>94dB</w:t>
                  </w:r>
                  <w:r>
                    <w:rPr>
                      <w:rFonts w:hint="eastAsia"/>
                      <w:color w:val="auto"/>
                      <w:szCs w:val="18"/>
                      <w:highlight w:val="none"/>
                      <w:lang w:eastAsia="zh-CN"/>
                    </w:rPr>
                    <w:t>(A)</w:t>
                  </w:r>
                </w:p>
              </w:tc>
              <w:tc>
                <w:tcPr>
                  <w:tcW w:w="870" w:type="pct"/>
                  <w:vAlign w:val="center"/>
                </w:tcPr>
                <w:p w14:paraId="06F0B8D3">
                  <w:pPr>
                    <w:adjustRightInd w:val="0"/>
                    <w:snapToGrid w:val="0"/>
                    <w:jc w:val="center"/>
                    <w:textAlignment w:val="baseline"/>
                    <w:rPr>
                      <w:color w:val="auto"/>
                      <w:spacing w:val="-10"/>
                      <w:szCs w:val="21"/>
                      <w:highlight w:val="none"/>
                    </w:rPr>
                  </w:pPr>
                  <w:r>
                    <w:rPr>
                      <w:rFonts w:hint="eastAsia"/>
                      <w:color w:val="auto"/>
                      <w:szCs w:val="18"/>
                      <w:highlight w:val="none"/>
                    </w:rPr>
                    <w:t>河南省计量测试科学研究院</w:t>
                  </w:r>
                </w:p>
              </w:tc>
            </w:tr>
          </w:tbl>
          <w:p w14:paraId="4DE6661B">
            <w:pPr>
              <w:keepNext/>
              <w:keepLines/>
              <w:tabs>
                <w:tab w:val="left" w:pos="420"/>
                <w:tab w:val="left" w:pos="567"/>
              </w:tabs>
              <w:spacing w:before="20" w:after="20" w:line="360" w:lineRule="auto"/>
              <w:jc w:val="left"/>
              <w:outlineLvl w:val="1"/>
              <w:rPr>
                <w:b/>
                <w:bCs/>
                <w:color w:val="auto"/>
                <w:sz w:val="24"/>
                <w:highlight w:val="none"/>
              </w:rPr>
            </w:pPr>
            <w:r>
              <w:rPr>
                <w:b/>
                <w:bCs/>
                <w:color w:val="auto"/>
                <w:sz w:val="24"/>
                <w:highlight w:val="none"/>
              </w:rPr>
              <w:t>4</w:t>
            </w:r>
            <w:r>
              <w:rPr>
                <w:rFonts w:hint="eastAsia"/>
                <w:b/>
                <w:bCs/>
                <w:color w:val="auto"/>
                <w:sz w:val="24"/>
                <w:highlight w:val="none"/>
              </w:rPr>
              <w:t>.6</w:t>
            </w:r>
            <w:r>
              <w:rPr>
                <w:b/>
                <w:bCs/>
                <w:color w:val="auto"/>
                <w:sz w:val="24"/>
                <w:highlight w:val="none"/>
              </w:rPr>
              <w:t>监测结果</w:t>
            </w:r>
            <w:r>
              <w:rPr>
                <w:rFonts w:hint="eastAsia"/>
                <w:b/>
                <w:bCs/>
                <w:color w:val="auto"/>
                <w:sz w:val="24"/>
                <w:highlight w:val="none"/>
              </w:rPr>
              <w:t>及分析</w:t>
            </w:r>
          </w:p>
          <w:p w14:paraId="512DD0C0">
            <w:pPr>
              <w:adjustRightInd w:val="0"/>
              <w:snapToGrid w:val="0"/>
              <w:spacing w:line="360" w:lineRule="auto"/>
              <w:ind w:firstLine="480" w:firstLineChars="200"/>
              <w:rPr>
                <w:color w:val="auto"/>
                <w:sz w:val="24"/>
                <w:highlight w:val="none"/>
              </w:rPr>
            </w:pPr>
            <w:r>
              <w:rPr>
                <w:rFonts w:hint="eastAsia" w:hAnsi="宋体"/>
                <w:color w:val="auto"/>
                <w:kern w:val="0"/>
                <w:sz w:val="24"/>
                <w:highlight w:val="none"/>
              </w:rPr>
              <w:t>项目环境噪声监测结果见</w:t>
            </w:r>
            <w:r>
              <w:rPr>
                <w:color w:val="auto"/>
                <w:sz w:val="24"/>
                <w:highlight w:val="none"/>
              </w:rPr>
              <w:t>表3-4。</w:t>
            </w:r>
          </w:p>
          <w:p w14:paraId="5D781614">
            <w:pPr>
              <w:pStyle w:val="23"/>
              <w:numPr>
                <w:ilvl w:val="0"/>
                <w:numId w:val="5"/>
              </w:numPr>
              <w:tabs>
                <w:tab w:val="right" w:pos="5142"/>
              </w:tabs>
              <w:ind w:left="0" w:leftChars="0" w:firstLine="0" w:firstLineChars="0"/>
              <w:jc w:val="center"/>
              <w:rPr>
                <w:b/>
                <w:bCs/>
                <w:color w:val="auto"/>
                <w:sz w:val="24"/>
                <w:highlight w:val="none"/>
              </w:rPr>
            </w:pPr>
            <w:r>
              <w:rPr>
                <w:b/>
                <w:bCs/>
                <w:color w:val="auto"/>
                <w:sz w:val="24"/>
                <w:highlight w:val="none"/>
              </w:rPr>
              <w:t xml:space="preserve">  项目环境噪声监测结果</w:t>
            </w:r>
          </w:p>
          <w:p w14:paraId="3F6CDAD5">
            <w:pPr>
              <w:pStyle w:val="23"/>
              <w:widowControl w:val="0"/>
              <w:numPr>
                <w:ilvl w:val="0"/>
                <w:numId w:val="0"/>
              </w:numPr>
              <w:tabs>
                <w:tab w:val="right" w:pos="5142"/>
              </w:tabs>
              <w:jc w:val="center"/>
              <w:rPr>
                <w:rFonts w:hint="eastAsia" w:eastAsia="宋体"/>
                <w:b/>
                <w:bCs/>
                <w:color w:val="auto"/>
                <w:sz w:val="24"/>
                <w:highlight w:val="none"/>
                <w:lang w:val="en-US" w:eastAsia="zh-CN"/>
              </w:rPr>
            </w:pPr>
            <w:r>
              <w:rPr>
                <w:rFonts w:hint="eastAsia"/>
                <w:b/>
                <w:bCs/>
                <w:color w:val="auto"/>
                <w:sz w:val="24"/>
                <w:highlight w:val="none"/>
                <w:lang w:val="en-US" w:eastAsia="zh-CN"/>
              </w:rPr>
              <w:t>略</w:t>
            </w:r>
          </w:p>
          <w:p w14:paraId="6C9BC2C3">
            <w:pPr>
              <w:adjustRightInd w:val="0"/>
              <w:spacing w:line="348" w:lineRule="auto"/>
              <w:ind w:firstLine="480" w:firstLineChars="200"/>
              <w:textAlignment w:val="baseline"/>
              <w:rPr>
                <w:rFonts w:hint="default" w:hAnsi="宋体"/>
                <w:color w:val="auto"/>
                <w:kern w:val="0"/>
                <w:sz w:val="24"/>
                <w:highlight w:val="none"/>
                <w:lang w:val="en-US" w:eastAsia="zh-CN"/>
              </w:rPr>
            </w:pPr>
            <w:r>
              <w:rPr>
                <w:rFonts w:hint="eastAsia" w:cs="Times New Roman"/>
                <w:color w:val="auto"/>
                <w:sz w:val="24"/>
                <w:szCs w:val="24"/>
                <w:highlight w:val="none"/>
                <w:lang w:val="en-US" w:eastAsia="zh-CN"/>
              </w:rPr>
              <w:t>跳线沟通段架空</w:t>
            </w:r>
            <w:r>
              <w:rPr>
                <w:rFonts w:hint="default" w:ascii="Times New Roman" w:hAnsi="Times New Roman" w:cs="Times New Roman"/>
                <w:color w:val="auto"/>
                <w:sz w:val="24"/>
                <w:szCs w:val="24"/>
                <w:highlight w:val="none"/>
                <w:lang w:val="en-US" w:eastAsia="zh-CN"/>
              </w:rPr>
              <w:t>线路声环境现状</w:t>
            </w:r>
            <w:r>
              <w:rPr>
                <w:rFonts w:hint="default" w:ascii="Times New Roman" w:hAnsi="Times New Roman" w:cs="Times New Roman"/>
                <w:color w:val="auto"/>
                <w:sz w:val="24"/>
                <w:szCs w:val="24"/>
                <w:highlight w:val="none"/>
              </w:rPr>
              <w:t>测点处噪声监测值昼间</w:t>
            </w:r>
            <w:r>
              <w:rPr>
                <w:rFonts w:hint="eastAsia" w:cs="Times New Roman"/>
                <w:color w:val="auto"/>
                <w:sz w:val="24"/>
                <w:szCs w:val="24"/>
                <w:highlight w:val="none"/>
                <w:lang w:val="en-US" w:eastAsia="zh-CN"/>
              </w:rPr>
              <w:t>为65</w:t>
            </w:r>
            <w:r>
              <w:rPr>
                <w:rFonts w:hint="default" w:ascii="Times New Roman" w:hAnsi="Times New Roman" w:cs="Times New Roman"/>
                <w:color w:val="auto"/>
                <w:sz w:val="24"/>
                <w:szCs w:val="24"/>
                <w:highlight w:val="none"/>
              </w:rPr>
              <w:t>dB</w:t>
            </w:r>
            <w:r>
              <w:rPr>
                <w:rFonts w:hint="eastAsia" w:cs="Times New Roman"/>
                <w:color w:val="auto"/>
                <w:sz w:val="24"/>
                <w:szCs w:val="24"/>
                <w:highlight w:val="none"/>
                <w:lang w:eastAsia="zh-CN"/>
              </w:rPr>
              <w:t>(A)</w:t>
            </w:r>
            <w:r>
              <w:rPr>
                <w:rFonts w:hint="default" w:ascii="Times New Roman" w:hAnsi="Times New Roman" w:cs="Times New Roman"/>
                <w:color w:val="auto"/>
                <w:sz w:val="24"/>
                <w:szCs w:val="24"/>
                <w:highlight w:val="none"/>
              </w:rPr>
              <w:t>，夜间监测值</w:t>
            </w:r>
            <w:r>
              <w:rPr>
                <w:rFonts w:hint="eastAsia" w:cs="Times New Roman"/>
                <w:color w:val="auto"/>
                <w:sz w:val="24"/>
                <w:szCs w:val="24"/>
                <w:highlight w:val="none"/>
                <w:lang w:val="en-US" w:eastAsia="zh-CN"/>
              </w:rPr>
              <w:t>为53</w:t>
            </w:r>
            <w:r>
              <w:rPr>
                <w:rFonts w:hint="default" w:ascii="Times New Roman" w:hAnsi="Times New Roman" w:cs="Times New Roman"/>
                <w:color w:val="auto"/>
                <w:sz w:val="24"/>
                <w:szCs w:val="24"/>
                <w:highlight w:val="none"/>
              </w:rPr>
              <w:t>dB</w:t>
            </w:r>
            <w:r>
              <w:rPr>
                <w:rFonts w:hint="eastAsia" w:cs="Times New Roman"/>
                <w:color w:val="auto"/>
                <w:sz w:val="24"/>
                <w:szCs w:val="24"/>
                <w:highlight w:val="none"/>
                <w:lang w:eastAsia="zh-CN"/>
              </w:rPr>
              <w:t>(A)</w:t>
            </w:r>
            <w:r>
              <w:rPr>
                <w:rFonts w:hint="default" w:ascii="Times New Roman" w:hAnsi="Times New Roman" w:cs="Times New Roman"/>
                <w:color w:val="auto"/>
                <w:sz w:val="24"/>
                <w:szCs w:val="24"/>
                <w:highlight w:val="none"/>
              </w:rPr>
              <w:t>，满足《声环境质量标准》（GB3096-2008）中</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4a</w:t>
            </w:r>
            <w:r>
              <w:rPr>
                <w:rFonts w:hint="default" w:ascii="Times New Roman" w:hAnsi="Times New Roman" w:cs="Times New Roman"/>
                <w:color w:val="auto"/>
                <w:sz w:val="24"/>
                <w:szCs w:val="24"/>
                <w:highlight w:val="none"/>
              </w:rPr>
              <w:t>类</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标准限值要求</w:t>
            </w:r>
            <w:r>
              <w:rPr>
                <w:rFonts w:hint="default" w:ascii="Times New Roman" w:hAnsi="Times New Roman" w:cs="Times New Roman"/>
                <w:color w:val="auto"/>
                <w:sz w:val="24"/>
                <w:szCs w:val="24"/>
                <w:highlight w:val="none"/>
                <w:lang w:eastAsia="zh-CN"/>
              </w:rPr>
              <w:t>。</w:t>
            </w:r>
            <w:r>
              <w:rPr>
                <w:rFonts w:hint="eastAsia" w:cs="Times New Roman"/>
                <w:color w:val="auto"/>
                <w:sz w:val="24"/>
                <w:szCs w:val="24"/>
                <w:highlight w:val="none"/>
                <w:lang w:val="en-US" w:eastAsia="zh-CN"/>
              </w:rPr>
              <w:t>河北变站内电缆段线路周围</w:t>
            </w:r>
            <w:r>
              <w:rPr>
                <w:rFonts w:hint="default" w:ascii="Times New Roman" w:hAnsi="Times New Roman" w:cs="Times New Roman"/>
                <w:color w:val="auto"/>
                <w:sz w:val="24"/>
                <w:szCs w:val="24"/>
                <w:highlight w:val="none"/>
                <w:lang w:val="en-US" w:eastAsia="zh-CN"/>
              </w:rPr>
              <w:t>声环境现状</w:t>
            </w:r>
            <w:r>
              <w:rPr>
                <w:rFonts w:hint="default" w:ascii="Times New Roman" w:hAnsi="Times New Roman" w:cs="Times New Roman"/>
                <w:color w:val="auto"/>
                <w:sz w:val="24"/>
                <w:szCs w:val="24"/>
                <w:highlight w:val="none"/>
              </w:rPr>
              <w:t>测点处噪声监测值昼间</w:t>
            </w:r>
            <w:r>
              <w:rPr>
                <w:rFonts w:hint="eastAsia" w:cs="Times New Roman"/>
                <w:color w:val="auto"/>
                <w:sz w:val="24"/>
                <w:szCs w:val="24"/>
                <w:highlight w:val="none"/>
                <w:lang w:val="en-US" w:eastAsia="zh-CN"/>
              </w:rPr>
              <w:t>为49</w:t>
            </w:r>
            <w:r>
              <w:rPr>
                <w:rFonts w:hint="default" w:ascii="Times New Roman" w:hAnsi="Times New Roman" w:cs="Times New Roman"/>
                <w:color w:val="auto"/>
                <w:sz w:val="24"/>
                <w:szCs w:val="24"/>
                <w:highlight w:val="none"/>
              </w:rPr>
              <w:t>dB</w:t>
            </w:r>
            <w:r>
              <w:rPr>
                <w:rFonts w:hint="eastAsia" w:cs="Times New Roman"/>
                <w:color w:val="auto"/>
                <w:sz w:val="24"/>
                <w:szCs w:val="24"/>
                <w:highlight w:val="none"/>
                <w:lang w:eastAsia="zh-CN"/>
              </w:rPr>
              <w:t>(A)</w:t>
            </w:r>
            <w:r>
              <w:rPr>
                <w:rFonts w:hint="default" w:ascii="Times New Roman" w:hAnsi="Times New Roman" w:cs="Times New Roman"/>
                <w:color w:val="auto"/>
                <w:sz w:val="24"/>
                <w:szCs w:val="24"/>
                <w:highlight w:val="none"/>
              </w:rPr>
              <w:t>，夜间监测值</w:t>
            </w:r>
            <w:r>
              <w:rPr>
                <w:rFonts w:hint="eastAsia" w:cs="Times New Roman"/>
                <w:color w:val="auto"/>
                <w:sz w:val="24"/>
                <w:szCs w:val="24"/>
                <w:highlight w:val="none"/>
                <w:lang w:val="en-US" w:eastAsia="zh-CN"/>
              </w:rPr>
              <w:t>为44</w:t>
            </w:r>
            <w:r>
              <w:rPr>
                <w:rFonts w:hint="default" w:ascii="Times New Roman" w:hAnsi="Times New Roman" w:cs="Times New Roman"/>
                <w:color w:val="auto"/>
                <w:sz w:val="24"/>
                <w:szCs w:val="24"/>
                <w:highlight w:val="none"/>
              </w:rPr>
              <w:t>dB</w:t>
            </w:r>
            <w:r>
              <w:rPr>
                <w:rFonts w:hint="eastAsia" w:cs="Times New Roman"/>
                <w:color w:val="auto"/>
                <w:sz w:val="24"/>
                <w:szCs w:val="24"/>
                <w:highlight w:val="none"/>
                <w:lang w:eastAsia="zh-CN"/>
              </w:rPr>
              <w:t>(A)</w:t>
            </w:r>
            <w:r>
              <w:rPr>
                <w:rFonts w:hint="default" w:ascii="Times New Roman" w:hAnsi="Times New Roman" w:cs="Times New Roman"/>
                <w:color w:val="auto"/>
                <w:sz w:val="24"/>
                <w:szCs w:val="24"/>
                <w:highlight w:val="none"/>
              </w:rPr>
              <w:t>，满足《声环境质量标准》（GB3096-2008）中</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类</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标准限值要求</w:t>
            </w:r>
            <w:r>
              <w:rPr>
                <w:rFonts w:hint="default" w:ascii="Times New Roman" w:hAnsi="Times New Roman" w:cs="Times New Roman"/>
                <w:color w:val="auto"/>
                <w:sz w:val="24"/>
                <w:szCs w:val="24"/>
                <w:highlight w:val="none"/>
                <w:lang w:eastAsia="zh-CN"/>
              </w:rPr>
              <w:t>。</w:t>
            </w:r>
          </w:p>
          <w:p w14:paraId="0FFD52D0">
            <w:pPr>
              <w:keepNext/>
              <w:keepLines/>
              <w:tabs>
                <w:tab w:val="left" w:pos="420"/>
                <w:tab w:val="left" w:pos="567"/>
              </w:tabs>
              <w:spacing w:line="360" w:lineRule="auto"/>
              <w:jc w:val="left"/>
              <w:outlineLvl w:val="1"/>
              <w:rPr>
                <w:b/>
                <w:bCs/>
                <w:color w:val="auto"/>
                <w:sz w:val="24"/>
                <w:highlight w:val="none"/>
              </w:rPr>
            </w:pPr>
            <w:r>
              <w:rPr>
                <w:b/>
                <w:bCs/>
                <w:color w:val="auto"/>
                <w:sz w:val="24"/>
                <w:highlight w:val="none"/>
              </w:rPr>
              <w:t>5</w:t>
            </w:r>
            <w:r>
              <w:rPr>
                <w:rFonts w:hint="eastAsia"/>
                <w:b/>
                <w:bCs/>
                <w:color w:val="auto"/>
                <w:sz w:val="24"/>
                <w:highlight w:val="none"/>
              </w:rPr>
              <w:t>.</w:t>
            </w:r>
            <w:r>
              <w:rPr>
                <w:b/>
                <w:bCs/>
                <w:color w:val="auto"/>
                <w:sz w:val="24"/>
                <w:highlight w:val="none"/>
              </w:rPr>
              <w:t>电磁环境质量</w:t>
            </w:r>
            <w:r>
              <w:rPr>
                <w:rFonts w:hint="eastAsia"/>
                <w:b/>
                <w:bCs/>
                <w:color w:val="auto"/>
                <w:sz w:val="24"/>
                <w:highlight w:val="none"/>
              </w:rPr>
              <w:t>现状</w:t>
            </w:r>
          </w:p>
          <w:p w14:paraId="3B28C9B5">
            <w:pPr>
              <w:spacing w:line="360" w:lineRule="auto"/>
              <w:ind w:firstLine="480" w:firstLineChars="200"/>
              <w:rPr>
                <w:color w:val="auto"/>
                <w:sz w:val="24"/>
                <w:szCs w:val="24"/>
                <w:highlight w:val="none"/>
              </w:rPr>
            </w:pPr>
            <w:r>
              <w:rPr>
                <w:color w:val="auto"/>
                <w:sz w:val="24"/>
                <w:szCs w:val="24"/>
                <w:highlight w:val="none"/>
              </w:rPr>
              <w:t>根据《电磁环境影响专题评价》中的环境质量现状监测结果，本项目所在区域电磁环境质量监测结果如下：</w:t>
            </w:r>
          </w:p>
          <w:p w14:paraId="42FCB46A">
            <w:pPr>
              <w:pageBreakBefore w:val="0"/>
              <w:widowControl w:val="0"/>
              <w:kinsoku/>
              <w:wordWrap/>
              <w:overflowPunct/>
              <w:topLinePunct w:val="0"/>
              <w:autoSpaceDE/>
              <w:bidi w:val="0"/>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1</w:t>
            </w:r>
            <w:r>
              <w:rPr>
                <w:rFonts w:hint="eastAsia"/>
                <w:color w:val="auto"/>
                <w:sz w:val="24"/>
                <w:szCs w:val="24"/>
                <w:highlight w:val="none"/>
              </w:rPr>
              <w:t>）电磁环境敏感目标</w:t>
            </w:r>
          </w:p>
          <w:p w14:paraId="5F8D2D29">
            <w:pPr>
              <w:spacing w:line="360" w:lineRule="auto"/>
              <w:ind w:firstLine="480" w:firstLineChars="200"/>
              <w:rPr>
                <w:rFonts w:hint="default" w:ascii="Times New Roman" w:hAnsi="Times New Roman" w:eastAsia="宋体" w:cs="Times New Roman"/>
                <w:color w:val="auto"/>
                <w:sz w:val="24"/>
                <w:szCs w:val="20"/>
                <w:highlight w:val="none"/>
                <w:lang w:val="en-US" w:eastAsia="zh-CN"/>
              </w:rPr>
            </w:pPr>
            <w:r>
              <w:rPr>
                <w:rFonts w:hint="eastAsia"/>
                <w:color w:val="auto"/>
                <w:sz w:val="24"/>
                <w:szCs w:val="24"/>
                <w:highlight w:val="none"/>
              </w:rPr>
              <w:t>评价范围内电磁环境敏感目标</w:t>
            </w:r>
            <w:r>
              <w:rPr>
                <w:color w:val="auto"/>
                <w:sz w:val="24"/>
                <w:szCs w:val="24"/>
                <w:highlight w:val="none"/>
              </w:rPr>
              <w:t>测点处工频电场强度</w:t>
            </w:r>
            <w:r>
              <w:rPr>
                <w:rFonts w:hint="eastAsia"/>
                <w:color w:val="auto"/>
                <w:sz w:val="24"/>
                <w:szCs w:val="24"/>
                <w:highlight w:val="none"/>
                <w:lang w:val="en-US" w:eastAsia="zh-CN"/>
              </w:rPr>
              <w:t>在0.27</w:t>
            </w:r>
            <w:r>
              <w:rPr>
                <w:rFonts w:hint="default" w:ascii="Times New Roman" w:hAnsi="Times New Roman" w:cs="Times New Roman"/>
                <w:color w:val="auto"/>
                <w:sz w:val="24"/>
                <w:szCs w:val="24"/>
                <w:highlight w:val="none"/>
              </w:rPr>
              <w:t>V/m</w:t>
            </w:r>
            <w:r>
              <w:rPr>
                <w:rFonts w:hint="default" w:ascii="Times New Roman" w:hAnsi="Times New Roman" w:cs="Times New Roman"/>
                <w:color w:val="auto"/>
                <w:sz w:val="24"/>
                <w:szCs w:val="24"/>
                <w:highlight w:val="none"/>
                <w:lang w:val="en-US" w:eastAsia="zh-CN"/>
              </w:rPr>
              <w:t>~0.9</w:t>
            </w: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V/m之间</w:t>
            </w:r>
            <w:r>
              <w:rPr>
                <w:color w:val="auto"/>
                <w:sz w:val="24"/>
                <w:szCs w:val="24"/>
                <w:highlight w:val="none"/>
              </w:rPr>
              <w:t>，工频磁感应强度</w:t>
            </w:r>
            <w:r>
              <w:rPr>
                <w:rFonts w:hint="eastAsia"/>
                <w:color w:val="auto"/>
                <w:sz w:val="24"/>
                <w:szCs w:val="24"/>
                <w:highlight w:val="none"/>
                <w:lang w:val="en-US" w:eastAsia="zh-CN"/>
              </w:rPr>
              <w:t>在0.028</w:t>
            </w:r>
            <w:r>
              <w:rPr>
                <w:color w:val="auto"/>
                <w:sz w:val="24"/>
                <w:szCs w:val="24"/>
                <w:highlight w:val="none"/>
              </w:rPr>
              <w:t>μT</w:t>
            </w:r>
            <w:r>
              <w:rPr>
                <w:rFonts w:hint="eastAsia"/>
                <w:color w:val="auto"/>
                <w:sz w:val="24"/>
                <w:szCs w:val="24"/>
                <w:highlight w:val="none"/>
                <w:lang w:val="en-US" w:eastAsia="zh-CN"/>
              </w:rPr>
              <w:t>~0.034</w:t>
            </w:r>
            <w:r>
              <w:rPr>
                <w:color w:val="auto"/>
                <w:sz w:val="24"/>
                <w:szCs w:val="24"/>
                <w:highlight w:val="none"/>
              </w:rPr>
              <w:t>μT之间</w:t>
            </w:r>
            <w:r>
              <w:rPr>
                <w:rFonts w:hint="eastAsia"/>
                <w:color w:val="auto"/>
                <w:sz w:val="24"/>
                <w:szCs w:val="24"/>
                <w:highlight w:val="none"/>
              </w:rPr>
              <w:t>，满足</w:t>
            </w:r>
            <w:r>
              <w:rPr>
                <w:color w:val="auto"/>
                <w:sz w:val="24"/>
                <w:szCs w:val="24"/>
                <w:highlight w:val="none"/>
              </w:rPr>
              <w:t>《电磁环境控制限值》（</w:t>
            </w:r>
            <w:r>
              <w:rPr>
                <w:rFonts w:hint="eastAsia"/>
                <w:color w:val="auto"/>
                <w:sz w:val="24"/>
                <w:szCs w:val="24"/>
                <w:highlight w:val="none"/>
                <w:lang w:eastAsia="zh-CN"/>
              </w:rPr>
              <w:t xml:space="preserve">GB </w:t>
            </w:r>
            <w:r>
              <w:rPr>
                <w:color w:val="auto"/>
                <w:sz w:val="24"/>
                <w:szCs w:val="24"/>
                <w:highlight w:val="none"/>
              </w:rPr>
              <w:t>8702-2014）中4000V/m及100μT的公众曝露控制限值要求</w:t>
            </w:r>
            <w:r>
              <w:rPr>
                <w:rFonts w:hint="eastAsia"/>
                <w:color w:val="auto"/>
                <w:sz w:val="24"/>
                <w:szCs w:val="24"/>
                <w:highlight w:val="none"/>
                <w:lang w:eastAsia="zh-CN"/>
              </w:rPr>
              <w:t>，</w:t>
            </w:r>
            <w:r>
              <w:rPr>
                <w:rFonts w:hint="eastAsia"/>
                <w:color w:val="auto"/>
                <w:sz w:val="24"/>
                <w:szCs w:val="24"/>
                <w:highlight w:val="none"/>
              </w:rPr>
              <w:t>同时也满足耕地、园地、牧草地、畜禽饲养地、养殖水面、道路等场所处10kV/m的限值要求。</w:t>
            </w:r>
          </w:p>
          <w:p w14:paraId="13581856">
            <w:pPr>
              <w:pageBreakBefore w:val="0"/>
              <w:widowControl w:val="0"/>
              <w:kinsoku/>
              <w:wordWrap/>
              <w:overflowPunct/>
              <w:topLinePunct w:val="0"/>
              <w:autoSpaceDE/>
              <w:bidi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线路沿线</w:t>
            </w:r>
          </w:p>
          <w:p w14:paraId="542D7631">
            <w:pPr>
              <w:spacing w:line="360" w:lineRule="auto"/>
              <w:ind w:firstLine="480" w:firstLineChars="200"/>
              <w:rPr>
                <w:color w:val="auto"/>
                <w:sz w:val="24"/>
                <w:szCs w:val="20"/>
                <w:highlight w:val="none"/>
              </w:rPr>
            </w:pPr>
            <w:r>
              <w:rPr>
                <w:rFonts w:hint="default" w:ascii="Times New Roman" w:hAnsi="Times New Roman" w:cs="Times New Roman"/>
                <w:color w:val="auto"/>
                <w:sz w:val="24"/>
                <w:szCs w:val="20"/>
                <w:highlight w:val="none"/>
              </w:rPr>
              <w:t>拟建线路沿线现状值监测点工频电场强度在114V/m~462V/m之间，工频磁感应强度在0.177μT~0.263μT之间，工频电场强度、工频磁感应强度均满足《电磁环境控制限值》（GB 8702-2014）中4000V/m及100μT的公众曝露控制限值要求，同时也满足耕地、园地、牧草地、畜禽饲养地、养殖水面、道路等场所处10kV/m的限值要求。</w:t>
            </w:r>
          </w:p>
        </w:tc>
      </w:tr>
      <w:tr w14:paraId="03EF5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 w:type="pct"/>
            <w:vAlign w:val="center"/>
          </w:tcPr>
          <w:p w14:paraId="1CB2D9E8">
            <w:pPr>
              <w:pStyle w:val="39"/>
              <w:jc w:val="center"/>
              <w:outlineLvl w:val="0"/>
              <w:rPr>
                <w:color w:val="auto"/>
                <w:szCs w:val="21"/>
                <w:highlight w:val="none"/>
              </w:rPr>
            </w:pPr>
            <w:bookmarkStart w:id="21" w:name="_Toc25599"/>
            <w:r>
              <w:rPr>
                <w:bCs/>
                <w:color w:val="auto"/>
                <w:szCs w:val="21"/>
                <w:highlight w:val="none"/>
              </w:rPr>
              <w:t>与项目有关的原有环境污染和生态破坏问题</w:t>
            </w:r>
            <w:bookmarkEnd w:id="21"/>
          </w:p>
        </w:tc>
        <w:tc>
          <w:tcPr>
            <w:tcW w:w="4791" w:type="pct"/>
            <w:vAlign w:val="center"/>
          </w:tcPr>
          <w:p w14:paraId="1B5A8EE9">
            <w:pPr>
              <w:keepNext/>
              <w:keepLines/>
              <w:tabs>
                <w:tab w:val="left" w:pos="420"/>
                <w:tab w:val="left" w:pos="567"/>
              </w:tabs>
              <w:spacing w:line="360" w:lineRule="auto"/>
              <w:jc w:val="left"/>
              <w:outlineLvl w:val="1"/>
              <w:rPr>
                <w:b/>
                <w:bCs/>
                <w:color w:val="auto"/>
                <w:sz w:val="24"/>
                <w:highlight w:val="none"/>
              </w:rPr>
            </w:pPr>
            <w:r>
              <w:rPr>
                <w:rFonts w:hint="eastAsia"/>
                <w:b/>
                <w:bCs/>
                <w:color w:val="auto"/>
                <w:sz w:val="24"/>
                <w:highlight w:val="none"/>
              </w:rPr>
              <w:t>1.1.现有工程环保手续履行情况</w:t>
            </w:r>
          </w:p>
          <w:p w14:paraId="7B2D3954">
            <w:pPr>
              <w:pStyle w:val="120"/>
              <w:ind w:firstLine="480"/>
              <w:rPr>
                <w:rFonts w:hint="eastAsia"/>
                <w:color w:val="auto"/>
                <w:highlight w:val="none"/>
                <w:lang w:eastAsia="zh-CN"/>
              </w:rPr>
            </w:pPr>
            <w:r>
              <w:rPr>
                <w:rFonts w:hint="eastAsia"/>
                <w:color w:val="auto"/>
                <w:highlight w:val="none"/>
              </w:rPr>
              <w:t>110</w:t>
            </w:r>
            <w:r>
              <w:rPr>
                <w:rFonts w:hint="eastAsia"/>
                <w:color w:val="auto"/>
                <w:highlight w:val="none"/>
                <w:lang w:val="en-US" w:eastAsia="zh-CN"/>
              </w:rPr>
              <w:t>kV</w:t>
            </w:r>
            <w:r>
              <w:rPr>
                <w:rFonts w:hint="eastAsia"/>
                <w:color w:val="auto"/>
                <w:highlight w:val="none"/>
              </w:rPr>
              <w:t>白沙变电站位于</w:t>
            </w:r>
            <w:r>
              <w:rPr>
                <w:rFonts w:hint="eastAsia"/>
                <w:color w:val="auto"/>
                <w:highlight w:val="none"/>
                <w:lang w:val="en-US" w:eastAsia="zh-CN"/>
              </w:rPr>
              <w:t>柳州市</w:t>
            </w:r>
            <w:r>
              <w:rPr>
                <w:rFonts w:hint="eastAsia"/>
                <w:color w:val="auto"/>
                <w:highlight w:val="none"/>
              </w:rPr>
              <w:t>白沙村，1990年</w:t>
            </w:r>
            <w:r>
              <w:rPr>
                <w:rFonts w:hint="eastAsia"/>
                <w:color w:val="auto"/>
                <w:highlight w:val="none"/>
                <w:lang w:val="en-US" w:eastAsia="zh-CN"/>
              </w:rPr>
              <w:t>建成投运</w:t>
            </w:r>
            <w:r>
              <w:rPr>
                <w:rFonts w:hint="eastAsia"/>
                <w:color w:val="auto"/>
                <w:highlight w:val="none"/>
                <w:lang w:eastAsia="zh-CN"/>
              </w:rPr>
              <w:t>。</w:t>
            </w:r>
            <w:r>
              <w:rPr>
                <w:rFonts w:hint="eastAsia"/>
                <w:color w:val="auto"/>
                <w:highlight w:val="none"/>
              </w:rPr>
              <w:t>110</w:t>
            </w:r>
            <w:r>
              <w:rPr>
                <w:rFonts w:hint="eastAsia"/>
                <w:color w:val="auto"/>
                <w:highlight w:val="none"/>
                <w:lang w:val="en-US" w:eastAsia="zh-CN"/>
              </w:rPr>
              <w:t>kV</w:t>
            </w:r>
            <w:r>
              <w:rPr>
                <w:rFonts w:hint="eastAsia"/>
                <w:color w:val="auto"/>
                <w:highlight w:val="none"/>
                <w:lang w:eastAsia="zh-CN"/>
              </w:rPr>
              <w:t>河北</w:t>
            </w:r>
            <w:r>
              <w:rPr>
                <w:rFonts w:hint="eastAsia"/>
                <w:color w:val="auto"/>
                <w:highlight w:val="none"/>
              </w:rPr>
              <w:t>变电站</w:t>
            </w:r>
            <w:r>
              <w:rPr>
                <w:rFonts w:hint="eastAsia"/>
                <w:color w:val="auto"/>
                <w:highlight w:val="none"/>
                <w:lang w:eastAsia="zh-CN"/>
              </w:rPr>
              <w:t>位于北雀路，</w:t>
            </w:r>
            <w:r>
              <w:rPr>
                <w:rFonts w:hint="eastAsia"/>
                <w:color w:val="auto"/>
                <w:highlight w:val="none"/>
                <w:lang w:val="en-US" w:eastAsia="zh-CN"/>
              </w:rPr>
              <w:t>1</w:t>
            </w:r>
            <w:r>
              <w:rPr>
                <w:rFonts w:hint="eastAsia"/>
                <w:color w:val="auto"/>
                <w:highlight w:val="none"/>
                <w:lang w:eastAsia="zh-CN"/>
              </w:rPr>
              <w:t>995年</w:t>
            </w:r>
            <w:r>
              <w:rPr>
                <w:rFonts w:hint="eastAsia"/>
                <w:color w:val="auto"/>
                <w:highlight w:val="none"/>
                <w:lang w:val="en-US" w:eastAsia="zh-CN"/>
              </w:rPr>
              <w:t>由35kV变电站</w:t>
            </w:r>
            <w:r>
              <w:rPr>
                <w:rFonts w:hint="eastAsia"/>
                <w:color w:val="auto"/>
                <w:highlight w:val="none"/>
                <w:lang w:eastAsia="zh-CN"/>
              </w:rPr>
              <w:t>升压为110</w:t>
            </w:r>
            <w:r>
              <w:rPr>
                <w:rFonts w:hint="eastAsia"/>
                <w:color w:val="auto"/>
                <w:highlight w:val="none"/>
                <w:lang w:val="en-US" w:eastAsia="zh-CN"/>
              </w:rPr>
              <w:t>kV</w:t>
            </w:r>
            <w:r>
              <w:rPr>
                <w:rFonts w:hint="eastAsia"/>
                <w:color w:val="auto"/>
                <w:highlight w:val="none"/>
                <w:lang w:eastAsia="zh-CN"/>
              </w:rPr>
              <w:t>变电站。</w:t>
            </w:r>
            <w:r>
              <w:rPr>
                <w:rFonts w:hint="eastAsia"/>
                <w:color w:val="auto"/>
                <w:highlight w:val="none"/>
                <w:lang w:val="en-US" w:eastAsia="zh-CN"/>
              </w:rPr>
              <w:t>两变电站因建成时间久远</w:t>
            </w:r>
            <w:r>
              <w:rPr>
                <w:rFonts w:hint="eastAsia"/>
                <w:color w:val="auto"/>
                <w:highlight w:val="none"/>
                <w:lang w:eastAsia="zh-CN"/>
              </w:rPr>
              <w:t>，</w:t>
            </w:r>
            <w:r>
              <w:rPr>
                <w:rFonts w:hint="eastAsia"/>
                <w:color w:val="auto"/>
                <w:highlight w:val="none"/>
                <w:lang w:val="en-US" w:eastAsia="zh-CN"/>
              </w:rPr>
              <w:t>无</w:t>
            </w:r>
            <w:r>
              <w:rPr>
                <w:rFonts w:hint="eastAsia"/>
                <w:color w:val="auto"/>
                <w:highlight w:val="none"/>
              </w:rPr>
              <w:t>环保手续</w:t>
            </w:r>
            <w:r>
              <w:rPr>
                <w:rFonts w:hint="eastAsia"/>
                <w:color w:val="auto"/>
                <w:highlight w:val="none"/>
                <w:lang w:eastAsia="zh-CN"/>
              </w:rPr>
              <w:t>。</w:t>
            </w:r>
          </w:p>
          <w:p w14:paraId="49A1ED58">
            <w:pPr>
              <w:pStyle w:val="120"/>
              <w:ind w:firstLine="480"/>
              <w:rPr>
                <w:color w:val="auto"/>
                <w:highlight w:val="none"/>
              </w:rPr>
            </w:pPr>
            <w:r>
              <w:rPr>
                <w:rFonts w:hint="eastAsia"/>
                <w:color w:val="auto"/>
                <w:highlight w:val="none"/>
                <w:lang w:val="en-US" w:eastAsia="zh-CN"/>
              </w:rPr>
              <w:t>本项目涉及</w:t>
            </w:r>
            <w:r>
              <w:rPr>
                <w:rFonts w:hint="eastAsia"/>
                <w:color w:val="auto"/>
                <w:highlight w:val="none"/>
              </w:rPr>
              <w:t>茅洲~柳北（T接黄村）110kV线路（</w:t>
            </w:r>
            <w:r>
              <w:rPr>
                <w:rFonts w:hint="eastAsia"/>
                <w:color w:val="auto"/>
                <w:highlight w:val="none"/>
                <w:lang w:val="en-US" w:eastAsia="zh-CN"/>
              </w:rPr>
              <w:t>现名称为</w:t>
            </w:r>
            <w:r>
              <w:rPr>
                <w:rFonts w:hint="eastAsia"/>
                <w:color w:val="auto"/>
                <w:highlight w:val="none"/>
              </w:rPr>
              <w:t>110kV柳黄北茅线）</w:t>
            </w:r>
            <w:r>
              <w:rPr>
                <w:rFonts w:hint="eastAsia"/>
                <w:color w:val="auto"/>
                <w:highlight w:val="none"/>
                <w:lang w:eastAsia="zh-CN"/>
              </w:rPr>
              <w:t>（</w:t>
            </w:r>
            <w:r>
              <w:rPr>
                <w:rFonts w:hint="eastAsia"/>
                <w:color w:val="auto"/>
                <w:highlight w:val="none"/>
                <w:lang w:val="en-US" w:eastAsia="zh-CN"/>
              </w:rPr>
              <w:t>归属于220kV茅洲变电站110kV配套送出工程）、</w:t>
            </w:r>
            <w:r>
              <w:rPr>
                <w:rFonts w:hint="eastAsia"/>
                <w:color w:val="auto"/>
                <w:highlight w:val="none"/>
              </w:rPr>
              <w:t>110kV</w:t>
            </w:r>
            <w:r>
              <w:rPr>
                <w:rFonts w:hint="eastAsia"/>
                <w:color w:val="auto"/>
                <w:highlight w:val="none"/>
                <w:lang w:val="en-US" w:eastAsia="zh-CN"/>
              </w:rPr>
              <w:t>柳白黄北线（归属于110kV黄村送变电工程）</w:t>
            </w:r>
            <w:r>
              <w:rPr>
                <w:rFonts w:hint="eastAsia"/>
                <w:color w:val="auto"/>
                <w:highlight w:val="none"/>
              </w:rPr>
              <w:t>，对应工程环保手续履行情况如下：</w:t>
            </w:r>
          </w:p>
          <w:p w14:paraId="5296129F">
            <w:pPr>
              <w:pStyle w:val="120"/>
              <w:ind w:firstLine="48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rPr>
              <w:t>茅洲~柳北（T接黄村）110kV线路（110kV柳黄北茅线）</w:t>
            </w:r>
          </w:p>
          <w:p w14:paraId="4F46182D">
            <w:pPr>
              <w:pStyle w:val="120"/>
              <w:ind w:firstLine="480"/>
              <w:rPr>
                <w:rFonts w:hint="eastAsia"/>
                <w:color w:val="auto"/>
                <w:highlight w:val="none"/>
                <w:lang w:val="en-US" w:eastAsia="zh-CN"/>
              </w:rPr>
            </w:pPr>
            <w:r>
              <w:rPr>
                <w:rFonts w:hint="eastAsia"/>
                <w:color w:val="auto"/>
                <w:highlight w:val="none"/>
              </w:rPr>
              <w:t>茅洲~柳北（T接黄村）110kV线路（110kV柳黄北茅线）</w:t>
            </w:r>
            <w:r>
              <w:rPr>
                <w:rFonts w:hint="eastAsia"/>
                <w:color w:val="auto"/>
                <w:highlight w:val="none"/>
                <w:lang w:val="en-US" w:eastAsia="zh-CN"/>
              </w:rPr>
              <w:t>建设归属于220kV茅洲变电站110kV配套送出工程。2013年10月，原柳州市环境保护局</w:t>
            </w:r>
            <w:r>
              <w:rPr>
                <w:rFonts w:hint="eastAsia"/>
                <w:color w:val="auto"/>
                <w:highlight w:val="none"/>
              </w:rPr>
              <w:t>以柳环验字〔2013〕89号</w:t>
            </w:r>
            <w:r>
              <w:rPr>
                <w:rFonts w:hint="eastAsia"/>
                <w:color w:val="auto"/>
                <w:sz w:val="24"/>
                <w:szCs w:val="24"/>
                <w:highlight w:val="none"/>
              </w:rPr>
              <w:t>文对该项目竣工环境保护验收予以批复</w:t>
            </w:r>
            <w:r>
              <w:rPr>
                <w:rFonts w:hint="eastAsia"/>
                <w:color w:val="auto"/>
                <w:highlight w:val="none"/>
              </w:rPr>
              <w:t>。</w:t>
            </w:r>
          </w:p>
          <w:p w14:paraId="607607D3">
            <w:pPr>
              <w:pStyle w:val="120"/>
              <w:numPr>
                <w:ilvl w:val="0"/>
                <w:numId w:val="0"/>
              </w:numPr>
              <w:ind w:firstLine="480" w:firstLineChars="200"/>
              <w:rPr>
                <w:rFonts w:hint="default"/>
                <w:color w:val="auto"/>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w:t>
            </w:r>
            <w:r>
              <w:rPr>
                <w:rFonts w:hint="eastAsia"/>
                <w:color w:val="auto"/>
                <w:highlight w:val="none"/>
              </w:rPr>
              <w:t>110kV</w:t>
            </w:r>
            <w:r>
              <w:rPr>
                <w:rFonts w:hint="eastAsia"/>
                <w:color w:val="auto"/>
                <w:highlight w:val="none"/>
                <w:lang w:val="en-US" w:eastAsia="zh-CN"/>
              </w:rPr>
              <w:t>柳白黄北线</w:t>
            </w:r>
          </w:p>
          <w:p w14:paraId="3FBBF1DD">
            <w:pPr>
              <w:pStyle w:val="120"/>
              <w:ind w:firstLine="480"/>
              <w:rPr>
                <w:rFonts w:hint="eastAsia"/>
                <w:color w:val="auto"/>
                <w:highlight w:val="none"/>
              </w:rPr>
            </w:pPr>
            <w:r>
              <w:rPr>
                <w:rFonts w:hint="eastAsia"/>
                <w:color w:val="auto"/>
                <w:highlight w:val="none"/>
              </w:rPr>
              <w:t>110kV</w:t>
            </w:r>
            <w:r>
              <w:rPr>
                <w:rFonts w:hint="eastAsia"/>
                <w:color w:val="auto"/>
                <w:highlight w:val="none"/>
                <w:lang w:val="en-US" w:eastAsia="zh-CN"/>
              </w:rPr>
              <w:t>柳白黄北线建设归属于110kV黄村送变电工程。2013年10月，原柳州市环境保护局以柳环验字〔2013〕94</w:t>
            </w:r>
            <w:r>
              <w:rPr>
                <w:rFonts w:hint="eastAsia"/>
                <w:color w:val="auto"/>
                <w:highlight w:val="none"/>
              </w:rPr>
              <w:t>号</w:t>
            </w:r>
            <w:r>
              <w:rPr>
                <w:rFonts w:hint="eastAsia"/>
                <w:color w:val="auto"/>
                <w:sz w:val="24"/>
                <w:szCs w:val="24"/>
                <w:highlight w:val="none"/>
              </w:rPr>
              <w:t>文对该项目竣工环境保护验收予以批复</w:t>
            </w:r>
            <w:r>
              <w:rPr>
                <w:rFonts w:hint="eastAsia"/>
                <w:color w:val="auto"/>
                <w:highlight w:val="none"/>
              </w:rPr>
              <w:t>。</w:t>
            </w:r>
          </w:p>
          <w:p w14:paraId="50773888">
            <w:pPr>
              <w:keepNext/>
              <w:keepLines/>
              <w:tabs>
                <w:tab w:val="left" w:pos="420"/>
                <w:tab w:val="left" w:pos="567"/>
              </w:tabs>
              <w:spacing w:line="360" w:lineRule="auto"/>
              <w:jc w:val="left"/>
              <w:outlineLvl w:val="1"/>
              <w:rPr>
                <w:b/>
                <w:bCs/>
                <w:color w:val="auto"/>
                <w:sz w:val="24"/>
                <w:highlight w:val="none"/>
              </w:rPr>
            </w:pPr>
            <w:r>
              <w:rPr>
                <w:rFonts w:hint="eastAsia"/>
                <w:b/>
                <w:bCs/>
                <w:color w:val="auto"/>
                <w:sz w:val="24"/>
                <w:highlight w:val="none"/>
              </w:rPr>
              <w:t>2.</w:t>
            </w:r>
            <w:r>
              <w:rPr>
                <w:b/>
                <w:bCs/>
                <w:color w:val="auto"/>
                <w:sz w:val="24"/>
                <w:highlight w:val="none"/>
              </w:rPr>
              <w:t>与项目有关的原有</w:t>
            </w:r>
            <w:r>
              <w:rPr>
                <w:rFonts w:hint="eastAsia"/>
                <w:b/>
                <w:bCs/>
                <w:color w:val="auto"/>
                <w:sz w:val="24"/>
                <w:highlight w:val="none"/>
              </w:rPr>
              <w:t>环境污染和生态破坏问题</w:t>
            </w:r>
          </w:p>
          <w:p w14:paraId="56CD3942">
            <w:pPr>
              <w:spacing w:line="360" w:lineRule="auto"/>
              <w:rPr>
                <w:b/>
                <w:bCs/>
                <w:color w:val="auto"/>
                <w:sz w:val="24"/>
                <w:highlight w:val="none"/>
              </w:rPr>
            </w:pPr>
            <w:r>
              <w:rPr>
                <w:b/>
                <w:bCs/>
                <w:color w:val="auto"/>
                <w:sz w:val="24"/>
                <w:highlight w:val="none"/>
              </w:rPr>
              <w:t>2.1原有环境污染状况及问题</w:t>
            </w:r>
          </w:p>
          <w:p w14:paraId="5625397B">
            <w:pPr>
              <w:pStyle w:val="120"/>
              <w:ind w:firstLine="480"/>
              <w:rPr>
                <w:b/>
                <w:color w:val="auto"/>
                <w:sz w:val="24"/>
                <w:szCs w:val="24"/>
                <w:highlight w:val="none"/>
              </w:rPr>
            </w:pPr>
            <w:r>
              <w:rPr>
                <w:rFonts w:hint="eastAsia"/>
                <w:color w:val="auto"/>
                <w:highlight w:val="none"/>
                <w:lang w:val="en-US" w:eastAsia="zh-CN"/>
              </w:rPr>
              <w:t>本项目涉及</w:t>
            </w:r>
            <w:r>
              <w:rPr>
                <w:rFonts w:hint="eastAsia"/>
                <w:color w:val="auto"/>
                <w:highlight w:val="none"/>
              </w:rPr>
              <w:t>茅洲~柳北（T接黄村）110kV线路（110kV柳黄北茅线）</w:t>
            </w:r>
            <w:r>
              <w:rPr>
                <w:rFonts w:hint="eastAsia"/>
                <w:color w:val="auto"/>
                <w:highlight w:val="none"/>
                <w:lang w:eastAsia="zh-CN"/>
              </w:rPr>
              <w:t>（</w:t>
            </w:r>
            <w:r>
              <w:rPr>
                <w:rFonts w:hint="eastAsia"/>
                <w:color w:val="auto"/>
                <w:highlight w:val="none"/>
                <w:lang w:val="en-US" w:eastAsia="zh-CN"/>
              </w:rPr>
              <w:t>归属于220kV茅洲变电站110kV配套送出工程）、</w:t>
            </w:r>
            <w:r>
              <w:rPr>
                <w:rFonts w:hint="eastAsia"/>
                <w:color w:val="auto"/>
                <w:highlight w:val="none"/>
              </w:rPr>
              <w:t>110kV</w:t>
            </w:r>
            <w:r>
              <w:rPr>
                <w:rFonts w:hint="eastAsia"/>
                <w:color w:val="auto"/>
                <w:highlight w:val="none"/>
                <w:lang w:val="en-US" w:eastAsia="zh-CN"/>
              </w:rPr>
              <w:t>柳白黄北线（归属于110kV黄村送变电工程）</w:t>
            </w:r>
            <w:r>
              <w:rPr>
                <w:color w:val="auto"/>
                <w:sz w:val="24"/>
                <w:szCs w:val="24"/>
                <w:highlight w:val="none"/>
              </w:rPr>
              <w:t>原有污染情况为</w:t>
            </w:r>
            <w:r>
              <w:rPr>
                <w:rFonts w:hint="eastAsia"/>
                <w:bCs/>
                <w:color w:val="auto"/>
                <w:sz w:val="24"/>
                <w:szCs w:val="24"/>
                <w:highlight w:val="none"/>
              </w:rPr>
              <w:t>原有线路</w:t>
            </w:r>
            <w:r>
              <w:rPr>
                <w:color w:val="auto"/>
                <w:sz w:val="24"/>
                <w:szCs w:val="24"/>
                <w:highlight w:val="none"/>
              </w:rPr>
              <w:t>产生的工频电场强度、工频磁感应强度。</w:t>
            </w:r>
          </w:p>
          <w:p w14:paraId="2251561F">
            <w:pPr>
              <w:spacing w:line="360" w:lineRule="auto"/>
              <w:ind w:firstLine="480" w:firstLineChars="200"/>
              <w:rPr>
                <w:rFonts w:hint="eastAsia" w:eastAsia="宋体"/>
                <w:color w:val="auto"/>
                <w:sz w:val="24"/>
                <w:szCs w:val="24"/>
                <w:highlight w:val="none"/>
              </w:rPr>
            </w:pPr>
            <w:r>
              <w:rPr>
                <w:rFonts w:hint="eastAsia" w:eastAsia="宋体"/>
                <w:color w:val="auto"/>
                <w:sz w:val="24"/>
                <w:szCs w:val="24"/>
                <w:highlight w:val="none"/>
              </w:rPr>
              <w:t>（</w:t>
            </w:r>
            <w:r>
              <w:rPr>
                <w:rFonts w:hint="eastAsia"/>
                <w:color w:val="auto"/>
                <w:sz w:val="24"/>
                <w:szCs w:val="24"/>
                <w:highlight w:val="none"/>
                <w:lang w:val="en-US" w:eastAsia="zh-CN"/>
              </w:rPr>
              <w:t>1</w:t>
            </w:r>
            <w:r>
              <w:rPr>
                <w:rFonts w:hint="eastAsia" w:eastAsia="宋体"/>
                <w:color w:val="auto"/>
                <w:sz w:val="24"/>
                <w:szCs w:val="24"/>
                <w:highlight w:val="none"/>
              </w:rPr>
              <w:t>）根据《220kV茅洲变电站110kV配套送出工程建设项目竣工环境保护验收调查表》</w:t>
            </w:r>
            <w:r>
              <w:rPr>
                <w:rFonts w:hint="eastAsia" w:eastAsia="宋体"/>
                <w:color w:val="auto"/>
                <w:sz w:val="24"/>
                <w:szCs w:val="24"/>
                <w:highlight w:val="none"/>
                <w:lang w:val="en-US" w:eastAsia="zh-CN"/>
              </w:rPr>
              <w:t>可知</w:t>
            </w:r>
            <w:r>
              <w:rPr>
                <w:rFonts w:hint="eastAsia" w:eastAsia="宋体"/>
                <w:color w:val="auto"/>
                <w:sz w:val="24"/>
                <w:szCs w:val="24"/>
                <w:highlight w:val="none"/>
              </w:rPr>
              <w:t>：</w:t>
            </w:r>
          </w:p>
          <w:p w14:paraId="75991C25">
            <w:pPr>
              <w:pStyle w:val="120"/>
              <w:keepNext w:val="0"/>
              <w:keepLines w:val="0"/>
              <w:pageBreakBefore w:val="0"/>
              <w:widowControl w:val="0"/>
              <w:kinsoku/>
              <w:wordWrap w:val="0"/>
              <w:overflowPunct/>
              <w:topLinePunct w:val="0"/>
              <w:autoSpaceDE/>
              <w:autoSpaceDN/>
              <w:bidi w:val="0"/>
              <w:adjustRightInd/>
              <w:snapToGrid/>
              <w:ind w:firstLine="480"/>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线路沿线工频电场强度、工频磁感应强度</w:t>
            </w:r>
            <w:r>
              <w:rPr>
                <w:rFonts w:hint="eastAsia"/>
                <w:color w:val="auto"/>
                <w:sz w:val="24"/>
                <w:szCs w:val="24"/>
                <w:highlight w:val="none"/>
              </w:rPr>
              <w:t>满足</w:t>
            </w:r>
            <w:r>
              <w:rPr>
                <w:color w:val="auto"/>
                <w:sz w:val="24"/>
                <w:szCs w:val="24"/>
                <w:highlight w:val="none"/>
              </w:rPr>
              <w:t>《电磁环境控制限值》（</w:t>
            </w:r>
            <w:r>
              <w:rPr>
                <w:rFonts w:hint="eastAsia"/>
                <w:color w:val="auto"/>
                <w:sz w:val="24"/>
                <w:szCs w:val="24"/>
                <w:highlight w:val="none"/>
                <w:lang w:eastAsia="zh-CN"/>
              </w:rPr>
              <w:t xml:space="preserve">GB </w:t>
            </w:r>
            <w:r>
              <w:rPr>
                <w:color w:val="auto"/>
                <w:sz w:val="24"/>
                <w:szCs w:val="24"/>
                <w:highlight w:val="none"/>
              </w:rPr>
              <w:t>8702-2014）中4000V/m及100μT的公众曝露控制限值要求</w:t>
            </w:r>
            <w:r>
              <w:rPr>
                <w:rFonts w:hint="default" w:ascii="Times New Roman" w:hAnsi="Times New Roman" w:eastAsia="宋体" w:cs="Times New Roman"/>
                <w:snapToGrid w:val="0"/>
                <w:color w:val="auto"/>
                <w:sz w:val="24"/>
                <w:szCs w:val="24"/>
                <w:highlight w:val="none"/>
                <w:lang w:val="en-US" w:eastAsia="zh-CN"/>
              </w:rPr>
              <w:t>。</w:t>
            </w:r>
          </w:p>
          <w:p w14:paraId="782DD9E3">
            <w:pPr>
              <w:spacing w:line="360" w:lineRule="auto"/>
              <w:ind w:firstLine="480" w:firstLineChars="200"/>
              <w:rPr>
                <w:rFonts w:hint="eastAsia" w:eastAsia="宋体"/>
                <w:color w:val="auto"/>
                <w:sz w:val="24"/>
                <w:szCs w:val="24"/>
                <w:highlight w:val="none"/>
              </w:rPr>
            </w:pPr>
            <w:r>
              <w:rPr>
                <w:rFonts w:hint="eastAsia" w:eastAsia="宋体"/>
                <w:color w:val="auto"/>
                <w:sz w:val="24"/>
                <w:szCs w:val="24"/>
                <w:highlight w:val="none"/>
              </w:rPr>
              <w:t>（</w:t>
            </w:r>
            <w:r>
              <w:rPr>
                <w:rFonts w:hint="eastAsia"/>
                <w:color w:val="auto"/>
                <w:sz w:val="24"/>
                <w:szCs w:val="24"/>
                <w:highlight w:val="none"/>
                <w:lang w:val="en-US" w:eastAsia="zh-CN"/>
              </w:rPr>
              <w:t>2</w:t>
            </w:r>
            <w:r>
              <w:rPr>
                <w:rFonts w:hint="eastAsia" w:eastAsia="宋体"/>
                <w:color w:val="auto"/>
                <w:sz w:val="24"/>
                <w:szCs w:val="24"/>
                <w:highlight w:val="none"/>
              </w:rPr>
              <w:t>）根据《</w:t>
            </w:r>
            <w:r>
              <w:rPr>
                <w:rFonts w:hint="eastAsia"/>
                <w:color w:val="auto"/>
                <w:sz w:val="24"/>
                <w:szCs w:val="24"/>
                <w:highlight w:val="none"/>
                <w:lang w:val="en-US" w:eastAsia="zh-CN"/>
              </w:rPr>
              <w:t>110kV黄村送变电工程</w:t>
            </w:r>
            <w:r>
              <w:rPr>
                <w:rFonts w:hint="eastAsia" w:eastAsia="宋体"/>
                <w:color w:val="auto"/>
                <w:sz w:val="24"/>
                <w:szCs w:val="24"/>
                <w:highlight w:val="none"/>
              </w:rPr>
              <w:t>建设项目竣工环境保护验收调查表》</w:t>
            </w:r>
            <w:r>
              <w:rPr>
                <w:rFonts w:hint="eastAsia" w:eastAsia="宋体"/>
                <w:color w:val="auto"/>
                <w:sz w:val="24"/>
                <w:szCs w:val="24"/>
                <w:highlight w:val="none"/>
                <w:lang w:val="en-US" w:eastAsia="zh-CN"/>
              </w:rPr>
              <w:t>可知</w:t>
            </w:r>
            <w:r>
              <w:rPr>
                <w:rFonts w:hint="eastAsia" w:eastAsia="宋体"/>
                <w:color w:val="auto"/>
                <w:sz w:val="24"/>
                <w:szCs w:val="24"/>
                <w:highlight w:val="none"/>
              </w:rPr>
              <w:t>：</w:t>
            </w:r>
          </w:p>
          <w:p w14:paraId="62CD6036">
            <w:pPr>
              <w:pStyle w:val="120"/>
              <w:keepNext w:val="0"/>
              <w:keepLines w:val="0"/>
              <w:pageBreakBefore w:val="0"/>
              <w:widowControl w:val="0"/>
              <w:kinsoku/>
              <w:wordWrap w:val="0"/>
              <w:overflowPunct/>
              <w:topLinePunct w:val="0"/>
              <w:autoSpaceDE/>
              <w:autoSpaceDN/>
              <w:bidi w:val="0"/>
              <w:adjustRightInd/>
              <w:snapToGrid/>
              <w:ind w:firstLine="480"/>
              <w:textAlignment w:val="auto"/>
              <w:rPr>
                <w:rFonts w:hint="eastAsia"/>
                <w:color w:val="auto"/>
                <w:sz w:val="24"/>
                <w:szCs w:val="24"/>
                <w:highlight w:val="none"/>
              </w:rPr>
            </w:pPr>
            <w:r>
              <w:rPr>
                <w:rFonts w:hint="default" w:ascii="Times New Roman" w:hAnsi="Times New Roman" w:eastAsia="宋体" w:cs="Times New Roman"/>
                <w:color w:val="auto"/>
                <w:sz w:val="24"/>
                <w:szCs w:val="24"/>
                <w:highlight w:val="none"/>
                <w:lang w:val="en-US" w:eastAsia="zh-CN"/>
              </w:rPr>
              <w:t>线路沿线工频电场强度、工频磁感应强度</w:t>
            </w:r>
            <w:r>
              <w:rPr>
                <w:rFonts w:hint="eastAsia" w:cs="Times New Roman"/>
                <w:color w:val="auto"/>
                <w:sz w:val="24"/>
                <w:szCs w:val="24"/>
                <w:highlight w:val="none"/>
                <w:lang w:val="en-US" w:eastAsia="zh-CN"/>
              </w:rPr>
              <w:t>，</w:t>
            </w:r>
            <w:r>
              <w:rPr>
                <w:rFonts w:hint="eastAsia"/>
                <w:color w:val="auto"/>
                <w:sz w:val="24"/>
                <w:szCs w:val="24"/>
                <w:highlight w:val="none"/>
              </w:rPr>
              <w:t>满足</w:t>
            </w:r>
            <w:r>
              <w:rPr>
                <w:color w:val="auto"/>
                <w:sz w:val="24"/>
                <w:szCs w:val="24"/>
                <w:highlight w:val="none"/>
              </w:rPr>
              <w:t>《电磁环境控制限值》（</w:t>
            </w:r>
            <w:r>
              <w:rPr>
                <w:rFonts w:hint="eastAsia"/>
                <w:color w:val="auto"/>
                <w:sz w:val="24"/>
                <w:szCs w:val="24"/>
                <w:highlight w:val="none"/>
                <w:lang w:eastAsia="zh-CN"/>
              </w:rPr>
              <w:t xml:space="preserve">GB </w:t>
            </w:r>
            <w:r>
              <w:rPr>
                <w:color w:val="auto"/>
                <w:sz w:val="24"/>
                <w:szCs w:val="24"/>
                <w:highlight w:val="none"/>
              </w:rPr>
              <w:t>8702-2014）中4000V/m及100μT的公众曝露控制限值要求</w:t>
            </w:r>
            <w:r>
              <w:rPr>
                <w:rFonts w:hint="default" w:ascii="Times New Roman" w:hAnsi="Times New Roman" w:eastAsia="宋体" w:cs="Times New Roman"/>
                <w:snapToGrid w:val="0"/>
                <w:color w:val="auto"/>
                <w:sz w:val="24"/>
                <w:szCs w:val="24"/>
                <w:highlight w:val="none"/>
                <w:lang w:val="en-US" w:eastAsia="zh-CN"/>
              </w:rPr>
              <w:t>。</w:t>
            </w:r>
          </w:p>
          <w:p w14:paraId="41A5598A">
            <w:pPr>
              <w:spacing w:line="360" w:lineRule="auto"/>
              <w:ind w:firstLine="480" w:firstLineChars="200"/>
              <w:rPr>
                <w:rFonts w:hint="eastAsia"/>
                <w:color w:val="auto"/>
                <w:sz w:val="24"/>
                <w:highlight w:val="none"/>
              </w:rPr>
            </w:pPr>
            <w:r>
              <w:rPr>
                <w:color w:val="auto"/>
                <w:kern w:val="0"/>
                <w:sz w:val="24"/>
                <w:highlight w:val="none"/>
              </w:rPr>
              <w:t>根据现场监测及建设单位提供的资料，并经现场踏勘，项目所在区域的电磁环境等各项指标均符合国家规定的限值要求，不存在与本项目有关的原有环境污染问题，无相关环保遗留问题</w:t>
            </w:r>
            <w:r>
              <w:rPr>
                <w:color w:val="auto"/>
                <w:sz w:val="24"/>
                <w:highlight w:val="none"/>
              </w:rPr>
              <w:t>。</w:t>
            </w:r>
          </w:p>
          <w:p w14:paraId="558CE6D4">
            <w:pPr>
              <w:spacing w:line="360" w:lineRule="auto"/>
              <w:rPr>
                <w:color w:val="auto"/>
                <w:kern w:val="0"/>
                <w:sz w:val="24"/>
                <w:highlight w:val="none"/>
              </w:rPr>
            </w:pPr>
            <w:r>
              <w:rPr>
                <w:b/>
                <w:bCs/>
                <w:color w:val="auto"/>
                <w:sz w:val="24"/>
                <w:highlight w:val="none"/>
              </w:rPr>
              <w:t>2.2主要生态破坏问题</w:t>
            </w:r>
          </w:p>
          <w:p w14:paraId="0A8BAD64">
            <w:pPr>
              <w:pStyle w:val="120"/>
              <w:ind w:firstLine="480"/>
              <w:rPr>
                <w:rFonts w:hint="eastAsia" w:ascii="Times New Roman" w:hAnsi="Times New Roman" w:eastAsia="宋体" w:cs="Times New Roman"/>
                <w:color w:val="auto"/>
                <w:kern w:val="2"/>
                <w:sz w:val="24"/>
                <w:highlight w:val="none"/>
              </w:rPr>
            </w:pPr>
            <w:r>
              <w:rPr>
                <w:rFonts w:hint="eastAsia"/>
                <w:color w:val="auto"/>
                <w:sz w:val="24"/>
                <w:highlight w:val="none"/>
              </w:rPr>
              <w:t>线路沿线</w:t>
            </w:r>
            <w:r>
              <w:rPr>
                <w:rFonts w:hint="eastAsia"/>
                <w:color w:val="auto"/>
                <w:sz w:val="24"/>
                <w:highlight w:val="none"/>
                <w:lang w:val="en-US" w:eastAsia="zh-CN"/>
              </w:rPr>
              <w:t>乔木</w:t>
            </w:r>
            <w:r>
              <w:rPr>
                <w:rFonts w:hint="eastAsia"/>
                <w:color w:val="auto"/>
                <w:sz w:val="24"/>
                <w:highlight w:val="none"/>
              </w:rPr>
              <w:t>植被以</w:t>
            </w:r>
            <w:r>
              <w:rPr>
                <w:rFonts w:hint="eastAsia"/>
                <w:color w:val="auto"/>
                <w:sz w:val="24"/>
                <w:highlight w:val="none"/>
                <w:lang w:val="en-US" w:eastAsia="zh-CN"/>
              </w:rPr>
              <w:t>蓝花楹、木棉、榕树、洋紫荆等</w:t>
            </w:r>
            <w:r>
              <w:rPr>
                <w:rFonts w:hint="eastAsia"/>
                <w:color w:val="auto"/>
                <w:sz w:val="24"/>
                <w:highlight w:val="none"/>
              </w:rPr>
              <w:t>为主</w:t>
            </w:r>
            <w:r>
              <w:rPr>
                <w:rFonts w:hint="eastAsia"/>
                <w:color w:val="auto"/>
                <w:sz w:val="24"/>
                <w:highlight w:val="none"/>
                <w:lang w:eastAsia="zh-CN"/>
              </w:rPr>
              <w:t>，</w:t>
            </w:r>
            <w:r>
              <w:rPr>
                <w:rFonts w:hint="eastAsia"/>
                <w:color w:val="auto"/>
                <w:sz w:val="24"/>
                <w:highlight w:val="none"/>
                <w:lang w:val="en-US" w:eastAsia="zh-CN"/>
              </w:rPr>
              <w:t>灌草</w:t>
            </w:r>
            <w:r>
              <w:rPr>
                <w:rFonts w:hint="eastAsia"/>
                <w:color w:val="auto"/>
                <w:sz w:val="24"/>
                <w:highlight w:val="none"/>
              </w:rPr>
              <w:t>植被主要有</w:t>
            </w:r>
            <w:r>
              <w:rPr>
                <w:rFonts w:hint="eastAsia"/>
                <w:color w:val="auto"/>
                <w:sz w:val="24"/>
                <w:highlight w:val="none"/>
                <w:lang w:val="en-US" w:eastAsia="zh-CN"/>
              </w:rPr>
              <w:t>小叶榕、紫竹吊、红花檵木、马尼拉草</w:t>
            </w:r>
            <w:r>
              <w:rPr>
                <w:rFonts w:hint="eastAsia"/>
                <w:color w:val="auto"/>
                <w:sz w:val="24"/>
                <w:highlight w:val="none"/>
              </w:rPr>
              <w:t>等</w:t>
            </w:r>
            <w:r>
              <w:rPr>
                <w:rFonts w:hint="eastAsia"/>
                <w:color w:val="auto"/>
                <w:sz w:val="24"/>
                <w:highlight w:val="none"/>
                <w:lang w:val="en-US" w:eastAsia="zh-CN"/>
              </w:rPr>
              <w:t>。</w:t>
            </w:r>
            <w:r>
              <w:rPr>
                <w:rFonts w:hint="eastAsia" w:ascii="Times New Roman" w:hAnsi="Times New Roman" w:eastAsia="宋体" w:cs="Times New Roman"/>
                <w:color w:val="auto"/>
                <w:kern w:val="2"/>
                <w:sz w:val="24"/>
                <w:highlight w:val="none"/>
                <w:lang w:val="en-US" w:eastAsia="zh-CN"/>
              </w:rPr>
              <w:t>项目所在区域</w:t>
            </w:r>
            <w:r>
              <w:rPr>
                <w:rFonts w:hint="eastAsia" w:ascii="Times New Roman" w:hAnsi="Times New Roman" w:eastAsia="宋体" w:cs="Times New Roman"/>
                <w:color w:val="auto"/>
                <w:kern w:val="2"/>
                <w:sz w:val="24"/>
                <w:highlight w:val="none"/>
              </w:rPr>
              <w:t>生态环境状况良好</w:t>
            </w:r>
            <w:r>
              <w:rPr>
                <w:rFonts w:hint="eastAsia" w:ascii="Times New Roman" w:hAnsi="Times New Roman" w:eastAsia="宋体" w:cs="Times New Roman"/>
                <w:color w:val="auto"/>
                <w:kern w:val="2"/>
                <w:sz w:val="24"/>
                <w:highlight w:val="none"/>
                <w:lang w:val="en-US" w:eastAsia="zh-CN"/>
              </w:rPr>
              <w:t>，</w:t>
            </w:r>
            <w:r>
              <w:rPr>
                <w:rFonts w:hint="eastAsia" w:ascii="Times New Roman" w:hAnsi="Times New Roman" w:eastAsia="宋体" w:cs="Times New Roman"/>
                <w:color w:val="auto"/>
                <w:kern w:val="2"/>
                <w:sz w:val="24"/>
                <w:highlight w:val="none"/>
              </w:rPr>
              <w:t>不存在与本项目有关的原有生态破坏问题。</w:t>
            </w:r>
          </w:p>
        </w:tc>
      </w:tr>
      <w:tr w14:paraId="3B7EC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9" w:type="pct"/>
            <w:vAlign w:val="center"/>
          </w:tcPr>
          <w:p w14:paraId="0EAD9294">
            <w:pPr>
              <w:pStyle w:val="39"/>
              <w:jc w:val="center"/>
              <w:outlineLvl w:val="0"/>
              <w:rPr>
                <w:bCs/>
                <w:color w:val="auto"/>
                <w:szCs w:val="21"/>
                <w:highlight w:val="none"/>
              </w:rPr>
            </w:pPr>
            <w:bookmarkStart w:id="22" w:name="_Toc3916"/>
            <w:r>
              <w:rPr>
                <w:color w:val="auto"/>
                <w:szCs w:val="21"/>
                <w:highlight w:val="none"/>
              </w:rPr>
              <w:t>生态环境保护目标</w:t>
            </w:r>
            <w:bookmarkEnd w:id="22"/>
          </w:p>
        </w:tc>
        <w:tc>
          <w:tcPr>
            <w:tcW w:w="4791" w:type="pct"/>
          </w:tcPr>
          <w:p w14:paraId="6807D82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b/>
                <w:bCs/>
                <w:color w:val="auto"/>
                <w:sz w:val="24"/>
                <w:highlight w:val="none"/>
              </w:rPr>
            </w:pPr>
            <w:r>
              <w:rPr>
                <w:b/>
                <w:bCs/>
                <w:color w:val="auto"/>
                <w:sz w:val="24"/>
                <w:highlight w:val="none"/>
              </w:rPr>
              <w:t>1.评价</w:t>
            </w:r>
            <w:r>
              <w:rPr>
                <w:rFonts w:hint="eastAsia"/>
                <w:b/>
                <w:bCs/>
                <w:color w:val="auto"/>
                <w:sz w:val="24"/>
                <w:highlight w:val="none"/>
              </w:rPr>
              <w:t>等级</w:t>
            </w:r>
          </w:p>
          <w:p w14:paraId="0FFC6641">
            <w:pPr>
              <w:pStyle w:val="120"/>
              <w:ind w:firstLine="480"/>
              <w:rPr>
                <w:color w:val="auto"/>
                <w:highlight w:val="none"/>
              </w:rPr>
            </w:pPr>
            <w:r>
              <w:rPr>
                <w:color w:val="auto"/>
                <w:highlight w:val="none"/>
              </w:rPr>
              <w:t>按照《建设项目环境影响评价技术导则</w:t>
            </w:r>
            <w:r>
              <w:rPr>
                <w:rFonts w:hint="eastAsia"/>
                <w:color w:val="auto"/>
                <w:highlight w:val="none"/>
                <w:lang w:val="en-US" w:eastAsia="zh-CN"/>
              </w:rPr>
              <w:t xml:space="preserve"> </w:t>
            </w:r>
            <w:r>
              <w:rPr>
                <w:color w:val="auto"/>
                <w:highlight w:val="none"/>
              </w:rPr>
              <w:t>总纲》（</w:t>
            </w:r>
            <w:r>
              <w:rPr>
                <w:rFonts w:hint="eastAsia"/>
                <w:color w:val="auto"/>
                <w:highlight w:val="none"/>
                <w:lang w:eastAsia="zh-CN"/>
              </w:rPr>
              <w:t xml:space="preserve">HJ </w:t>
            </w:r>
            <w:r>
              <w:rPr>
                <w:color w:val="auto"/>
                <w:highlight w:val="none"/>
              </w:rPr>
              <w:t>2.1-2016）、《环境影响评价技术导则</w:t>
            </w:r>
            <w:r>
              <w:rPr>
                <w:rFonts w:hint="eastAsia"/>
                <w:color w:val="auto"/>
                <w:highlight w:val="none"/>
              </w:rPr>
              <w:t xml:space="preserve"> </w:t>
            </w:r>
            <w:r>
              <w:rPr>
                <w:color w:val="auto"/>
                <w:highlight w:val="none"/>
              </w:rPr>
              <w:t>输变电》（</w:t>
            </w:r>
            <w:r>
              <w:rPr>
                <w:rFonts w:hint="eastAsia"/>
                <w:color w:val="auto"/>
                <w:highlight w:val="none"/>
                <w:lang w:eastAsia="zh-CN"/>
              </w:rPr>
              <w:t xml:space="preserve">HJ </w:t>
            </w:r>
            <w:r>
              <w:rPr>
                <w:color w:val="auto"/>
                <w:highlight w:val="none"/>
              </w:rPr>
              <w:t>24-2020）、《环境影响评价技术导则</w:t>
            </w:r>
            <w:r>
              <w:rPr>
                <w:rFonts w:hint="eastAsia"/>
                <w:color w:val="auto"/>
                <w:highlight w:val="none"/>
                <w:lang w:val="en-US" w:eastAsia="zh-CN"/>
              </w:rPr>
              <w:t xml:space="preserve"> </w:t>
            </w:r>
            <w:r>
              <w:rPr>
                <w:color w:val="auto"/>
                <w:highlight w:val="none"/>
              </w:rPr>
              <w:t>声环境》（</w:t>
            </w:r>
            <w:r>
              <w:rPr>
                <w:rFonts w:hint="eastAsia"/>
                <w:color w:val="auto"/>
                <w:highlight w:val="none"/>
                <w:lang w:eastAsia="zh-CN"/>
              </w:rPr>
              <w:t xml:space="preserve">HJ </w:t>
            </w:r>
            <w:r>
              <w:rPr>
                <w:color w:val="auto"/>
                <w:highlight w:val="none"/>
              </w:rPr>
              <w:t>2.4-2021）、《环境影响评价技术导则</w:t>
            </w:r>
            <w:r>
              <w:rPr>
                <w:rFonts w:hint="eastAsia"/>
                <w:color w:val="auto"/>
                <w:highlight w:val="none"/>
                <w:lang w:val="en-US" w:eastAsia="zh-CN"/>
              </w:rPr>
              <w:t xml:space="preserve"> </w:t>
            </w:r>
            <w:r>
              <w:rPr>
                <w:color w:val="auto"/>
                <w:highlight w:val="none"/>
              </w:rPr>
              <w:t>生态影响》（</w:t>
            </w:r>
            <w:r>
              <w:rPr>
                <w:rFonts w:hint="eastAsia"/>
                <w:color w:val="auto"/>
                <w:highlight w:val="none"/>
                <w:lang w:eastAsia="zh-CN"/>
              </w:rPr>
              <w:t xml:space="preserve">HJ </w:t>
            </w:r>
            <w:r>
              <w:rPr>
                <w:color w:val="auto"/>
                <w:highlight w:val="none"/>
              </w:rPr>
              <w:t>19-2022）、《环境影响评价技术导则</w:t>
            </w:r>
            <w:r>
              <w:rPr>
                <w:rFonts w:hint="eastAsia"/>
                <w:color w:val="auto"/>
                <w:highlight w:val="none"/>
                <w:lang w:val="en-US" w:eastAsia="zh-CN"/>
              </w:rPr>
              <w:t xml:space="preserve"> </w:t>
            </w:r>
            <w:r>
              <w:rPr>
                <w:color w:val="auto"/>
                <w:highlight w:val="none"/>
              </w:rPr>
              <w:t>地表水环境》</w:t>
            </w:r>
            <w:r>
              <w:rPr>
                <w:rFonts w:hint="eastAsia"/>
                <w:color w:val="auto"/>
                <w:highlight w:val="none"/>
              </w:rPr>
              <w:t>（</w:t>
            </w:r>
            <w:r>
              <w:rPr>
                <w:rFonts w:hint="eastAsia"/>
                <w:color w:val="auto"/>
                <w:highlight w:val="none"/>
                <w:lang w:eastAsia="zh-CN"/>
              </w:rPr>
              <w:t xml:space="preserve">HJ </w:t>
            </w:r>
            <w:r>
              <w:rPr>
                <w:rFonts w:hint="eastAsia"/>
                <w:color w:val="auto"/>
                <w:highlight w:val="none"/>
              </w:rPr>
              <w:t>2.3</w:t>
            </w:r>
            <w:r>
              <w:rPr>
                <w:color w:val="auto"/>
                <w:highlight w:val="none"/>
              </w:rPr>
              <w:t>-</w:t>
            </w:r>
            <w:r>
              <w:rPr>
                <w:rFonts w:hint="eastAsia"/>
                <w:color w:val="auto"/>
                <w:highlight w:val="none"/>
              </w:rPr>
              <w:t>2018）</w:t>
            </w:r>
            <w:r>
              <w:rPr>
                <w:color w:val="auto"/>
                <w:highlight w:val="none"/>
              </w:rPr>
              <w:t>确定本次评价工作的等级。</w:t>
            </w:r>
          </w:p>
          <w:p w14:paraId="60EB786B">
            <w:pPr>
              <w:pStyle w:val="120"/>
              <w:ind w:firstLine="480"/>
              <w:rPr>
                <w:color w:val="auto"/>
                <w:highlight w:val="none"/>
              </w:rPr>
            </w:pPr>
            <w:r>
              <w:rPr>
                <w:color w:val="auto"/>
                <w:highlight w:val="none"/>
              </w:rPr>
              <w:t>（1）电磁环境</w:t>
            </w:r>
          </w:p>
          <w:p w14:paraId="3056DB51">
            <w:pPr>
              <w:pStyle w:val="120"/>
              <w:ind w:firstLine="480"/>
              <w:rPr>
                <w:rFonts w:eastAsia="宋体"/>
                <w:color w:val="auto"/>
                <w:highlight w:val="none"/>
              </w:rPr>
            </w:pPr>
            <w:r>
              <w:rPr>
                <w:rFonts w:eastAsia="宋体"/>
                <w:color w:val="auto"/>
                <w:highlight w:val="none"/>
              </w:rPr>
              <w:t>根据《环境影响评价技术导则 输变电》（</w:t>
            </w:r>
            <w:r>
              <w:rPr>
                <w:rFonts w:hint="eastAsia"/>
                <w:color w:val="auto"/>
                <w:highlight w:val="none"/>
                <w:lang w:eastAsia="zh-CN"/>
              </w:rPr>
              <w:t xml:space="preserve">HJ </w:t>
            </w:r>
            <w:r>
              <w:rPr>
                <w:rFonts w:eastAsia="宋体"/>
                <w:color w:val="auto"/>
                <w:highlight w:val="none"/>
              </w:rPr>
              <w:t>24-2020）的规定执行输变电工程电磁环境影响评价工作等级，见表</w:t>
            </w:r>
            <w:r>
              <w:rPr>
                <w:rFonts w:hint="eastAsia" w:eastAsia="宋体"/>
                <w:color w:val="auto"/>
                <w:highlight w:val="none"/>
                <w:lang w:val="en-US" w:eastAsia="zh-CN"/>
              </w:rPr>
              <w:t>3</w:t>
            </w:r>
            <w:r>
              <w:rPr>
                <w:rFonts w:hint="eastAsia"/>
                <w:color w:val="auto"/>
                <w:highlight w:val="none"/>
                <w:lang w:val="en-US" w:eastAsia="zh-CN"/>
              </w:rPr>
              <w:t>-6</w:t>
            </w:r>
            <w:r>
              <w:rPr>
                <w:rFonts w:eastAsia="宋体"/>
                <w:color w:val="auto"/>
                <w:highlight w:val="none"/>
              </w:rPr>
              <w:t>。</w:t>
            </w:r>
          </w:p>
          <w:p w14:paraId="0F287B2F">
            <w:pPr>
              <w:pStyle w:val="23"/>
              <w:numPr>
                <w:ilvl w:val="0"/>
                <w:numId w:val="5"/>
              </w:numPr>
              <w:tabs>
                <w:tab w:val="right" w:pos="5142"/>
              </w:tabs>
              <w:ind w:left="0" w:leftChars="0" w:firstLine="0" w:firstLineChars="0"/>
              <w:jc w:val="center"/>
              <w:rPr>
                <w:b/>
                <w:color w:val="auto"/>
                <w:sz w:val="24"/>
                <w:szCs w:val="24"/>
                <w:highlight w:val="none"/>
              </w:rPr>
            </w:pPr>
            <w:r>
              <w:rPr>
                <w:b/>
                <w:color w:val="auto"/>
                <w:sz w:val="24"/>
                <w:szCs w:val="24"/>
                <w:highlight w:val="none"/>
              </w:rPr>
              <w:t xml:space="preserve"> </w:t>
            </w:r>
            <w:r>
              <w:rPr>
                <w:rFonts w:hint="eastAsia"/>
                <w:b/>
                <w:color w:val="auto"/>
                <w:sz w:val="24"/>
                <w:szCs w:val="24"/>
                <w:highlight w:val="none"/>
                <w:lang w:val="en-US" w:eastAsia="zh-CN"/>
              </w:rPr>
              <w:t xml:space="preserve"> </w:t>
            </w:r>
            <w:r>
              <w:rPr>
                <w:b/>
                <w:color w:val="auto"/>
                <w:sz w:val="24"/>
                <w:szCs w:val="24"/>
                <w:highlight w:val="none"/>
              </w:rPr>
              <w:t>项目电磁环境影响评价工作等级判定表</w:t>
            </w:r>
          </w:p>
          <w:tbl>
            <w:tblPr>
              <w:tblStyle w:val="44"/>
              <w:tblW w:w="498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914"/>
              <w:gridCol w:w="1180"/>
              <w:gridCol w:w="1596"/>
              <w:gridCol w:w="3651"/>
              <w:gridCol w:w="1358"/>
            </w:tblGrid>
            <w:tr w14:paraId="08B9CF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jc w:val="center"/>
              </w:trPr>
              <w:tc>
                <w:tcPr>
                  <w:tcW w:w="525" w:type="pct"/>
                  <w:shd w:val="clear" w:color="auto" w:fill="auto"/>
                  <w:vAlign w:val="center"/>
                </w:tcPr>
                <w:p w14:paraId="2860ADB0">
                  <w:pPr>
                    <w:autoSpaceDN w:val="0"/>
                    <w:snapToGrid w:val="0"/>
                    <w:spacing w:line="240" w:lineRule="auto"/>
                    <w:jc w:val="center"/>
                    <w:rPr>
                      <w:color w:val="auto"/>
                      <w:sz w:val="21"/>
                      <w:szCs w:val="21"/>
                      <w:highlight w:val="none"/>
                    </w:rPr>
                  </w:pPr>
                  <w:r>
                    <w:rPr>
                      <w:color w:val="auto"/>
                      <w:sz w:val="21"/>
                      <w:szCs w:val="21"/>
                      <w:highlight w:val="none"/>
                    </w:rPr>
                    <w:t>分类</w:t>
                  </w:r>
                </w:p>
              </w:tc>
              <w:tc>
                <w:tcPr>
                  <w:tcW w:w="678" w:type="pct"/>
                  <w:shd w:val="clear" w:color="auto" w:fill="auto"/>
                  <w:vAlign w:val="center"/>
                </w:tcPr>
                <w:p w14:paraId="1FF3EF43">
                  <w:pPr>
                    <w:autoSpaceDN w:val="0"/>
                    <w:snapToGrid w:val="0"/>
                    <w:spacing w:line="240" w:lineRule="auto"/>
                    <w:jc w:val="center"/>
                    <w:rPr>
                      <w:color w:val="auto"/>
                      <w:sz w:val="21"/>
                      <w:szCs w:val="21"/>
                      <w:highlight w:val="none"/>
                    </w:rPr>
                  </w:pPr>
                  <w:r>
                    <w:rPr>
                      <w:color w:val="auto"/>
                      <w:sz w:val="21"/>
                      <w:szCs w:val="21"/>
                      <w:highlight w:val="none"/>
                    </w:rPr>
                    <w:t>电压等级</w:t>
                  </w:r>
                </w:p>
              </w:tc>
              <w:tc>
                <w:tcPr>
                  <w:tcW w:w="917" w:type="pct"/>
                  <w:shd w:val="clear" w:color="auto" w:fill="auto"/>
                  <w:vAlign w:val="center"/>
                </w:tcPr>
                <w:p w14:paraId="6C2EAB43">
                  <w:pPr>
                    <w:autoSpaceDN w:val="0"/>
                    <w:snapToGrid w:val="0"/>
                    <w:spacing w:line="240" w:lineRule="auto"/>
                    <w:jc w:val="center"/>
                    <w:rPr>
                      <w:color w:val="auto"/>
                      <w:sz w:val="21"/>
                      <w:szCs w:val="21"/>
                      <w:highlight w:val="none"/>
                    </w:rPr>
                  </w:pPr>
                  <w:r>
                    <w:rPr>
                      <w:color w:val="auto"/>
                      <w:sz w:val="21"/>
                      <w:szCs w:val="21"/>
                      <w:highlight w:val="none"/>
                    </w:rPr>
                    <w:t>工程</w:t>
                  </w:r>
                </w:p>
              </w:tc>
              <w:tc>
                <w:tcPr>
                  <w:tcW w:w="2098" w:type="pct"/>
                  <w:shd w:val="clear" w:color="auto" w:fill="auto"/>
                  <w:vAlign w:val="center"/>
                </w:tcPr>
                <w:p w14:paraId="556D25F2">
                  <w:pPr>
                    <w:autoSpaceDN w:val="0"/>
                    <w:snapToGrid w:val="0"/>
                    <w:spacing w:line="240" w:lineRule="auto"/>
                    <w:jc w:val="center"/>
                    <w:rPr>
                      <w:color w:val="auto"/>
                      <w:sz w:val="21"/>
                      <w:szCs w:val="21"/>
                      <w:highlight w:val="none"/>
                    </w:rPr>
                  </w:pPr>
                  <w:r>
                    <w:rPr>
                      <w:color w:val="auto"/>
                      <w:sz w:val="21"/>
                      <w:szCs w:val="21"/>
                      <w:highlight w:val="none"/>
                    </w:rPr>
                    <w:t>条件</w:t>
                  </w:r>
                </w:p>
              </w:tc>
              <w:tc>
                <w:tcPr>
                  <w:tcW w:w="780" w:type="pct"/>
                  <w:shd w:val="clear" w:color="auto" w:fill="auto"/>
                  <w:vAlign w:val="center"/>
                </w:tcPr>
                <w:p w14:paraId="57559173">
                  <w:pPr>
                    <w:autoSpaceDN w:val="0"/>
                    <w:snapToGrid w:val="0"/>
                    <w:spacing w:line="240" w:lineRule="auto"/>
                    <w:jc w:val="center"/>
                    <w:rPr>
                      <w:color w:val="auto"/>
                      <w:sz w:val="21"/>
                      <w:szCs w:val="21"/>
                      <w:highlight w:val="none"/>
                    </w:rPr>
                  </w:pPr>
                  <w:r>
                    <w:rPr>
                      <w:color w:val="auto"/>
                      <w:sz w:val="21"/>
                      <w:szCs w:val="21"/>
                      <w:highlight w:val="none"/>
                    </w:rPr>
                    <w:t>评价工作等级</w:t>
                  </w:r>
                </w:p>
              </w:tc>
            </w:tr>
            <w:tr w14:paraId="7ADE1B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jc w:val="center"/>
              </w:trPr>
              <w:tc>
                <w:tcPr>
                  <w:tcW w:w="525" w:type="pct"/>
                  <w:vMerge w:val="restart"/>
                  <w:shd w:val="clear" w:color="auto" w:fill="auto"/>
                  <w:vAlign w:val="center"/>
                </w:tcPr>
                <w:p w14:paraId="75394316">
                  <w:pPr>
                    <w:autoSpaceDN w:val="0"/>
                    <w:snapToGrid w:val="0"/>
                    <w:spacing w:line="240" w:lineRule="auto"/>
                    <w:jc w:val="center"/>
                    <w:rPr>
                      <w:color w:val="auto"/>
                      <w:sz w:val="21"/>
                      <w:szCs w:val="21"/>
                      <w:highlight w:val="none"/>
                    </w:rPr>
                  </w:pPr>
                  <w:r>
                    <w:rPr>
                      <w:color w:val="auto"/>
                      <w:sz w:val="21"/>
                      <w:szCs w:val="21"/>
                      <w:highlight w:val="none"/>
                    </w:rPr>
                    <w:t>交流</w:t>
                  </w:r>
                </w:p>
              </w:tc>
              <w:tc>
                <w:tcPr>
                  <w:tcW w:w="678" w:type="pct"/>
                  <w:vMerge w:val="restart"/>
                  <w:shd w:val="clear" w:color="auto" w:fill="auto"/>
                  <w:vAlign w:val="center"/>
                </w:tcPr>
                <w:p w14:paraId="52BCFEC1">
                  <w:pPr>
                    <w:autoSpaceDN w:val="0"/>
                    <w:snapToGrid w:val="0"/>
                    <w:spacing w:line="240" w:lineRule="auto"/>
                    <w:jc w:val="center"/>
                    <w:rPr>
                      <w:color w:val="auto"/>
                      <w:sz w:val="21"/>
                      <w:szCs w:val="21"/>
                      <w:highlight w:val="none"/>
                    </w:rPr>
                  </w:pPr>
                  <w:r>
                    <w:rPr>
                      <w:rFonts w:hint="eastAsia"/>
                      <w:color w:val="auto"/>
                      <w:sz w:val="21"/>
                      <w:szCs w:val="21"/>
                      <w:highlight w:val="none"/>
                      <w:lang w:val="en-US" w:eastAsia="zh-CN"/>
                    </w:rPr>
                    <w:t>11</w:t>
                  </w:r>
                  <w:r>
                    <w:rPr>
                      <w:color w:val="auto"/>
                      <w:sz w:val="21"/>
                      <w:szCs w:val="21"/>
                      <w:highlight w:val="none"/>
                    </w:rPr>
                    <w:t>0kV</w:t>
                  </w:r>
                </w:p>
              </w:tc>
              <w:tc>
                <w:tcPr>
                  <w:tcW w:w="917" w:type="pct"/>
                  <w:shd w:val="clear" w:color="auto" w:fill="auto"/>
                  <w:vAlign w:val="center"/>
                </w:tcPr>
                <w:p w14:paraId="76B3851F">
                  <w:pPr>
                    <w:autoSpaceDN w:val="0"/>
                    <w:snapToGrid w:val="0"/>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电缆</w:t>
                  </w:r>
                  <w:r>
                    <w:rPr>
                      <w:rFonts w:hint="eastAsia"/>
                      <w:color w:val="auto"/>
                      <w:sz w:val="21"/>
                      <w:szCs w:val="21"/>
                      <w:highlight w:val="none"/>
                      <w:lang w:val="en-US" w:eastAsia="zh-CN"/>
                    </w:rPr>
                    <w:t>线路</w:t>
                  </w:r>
                </w:p>
              </w:tc>
              <w:tc>
                <w:tcPr>
                  <w:tcW w:w="2098" w:type="pct"/>
                  <w:shd w:val="clear" w:color="auto" w:fill="auto"/>
                  <w:vAlign w:val="center"/>
                </w:tcPr>
                <w:p w14:paraId="4241351B">
                  <w:pPr>
                    <w:autoSpaceDN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地下电缆</w:t>
                  </w:r>
                </w:p>
              </w:tc>
              <w:tc>
                <w:tcPr>
                  <w:tcW w:w="780" w:type="pct"/>
                  <w:shd w:val="clear" w:color="auto" w:fill="auto"/>
                  <w:vAlign w:val="center"/>
                </w:tcPr>
                <w:p w14:paraId="16A423AB">
                  <w:pPr>
                    <w:autoSpaceDN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三级</w:t>
                  </w:r>
                </w:p>
              </w:tc>
            </w:tr>
            <w:tr w14:paraId="6CBF9B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jc w:val="center"/>
              </w:trPr>
              <w:tc>
                <w:tcPr>
                  <w:tcW w:w="525" w:type="pct"/>
                  <w:vMerge w:val="continue"/>
                  <w:shd w:val="clear" w:color="auto" w:fill="auto"/>
                  <w:vAlign w:val="center"/>
                </w:tcPr>
                <w:p w14:paraId="559410FC">
                  <w:pPr>
                    <w:autoSpaceDN w:val="0"/>
                    <w:snapToGrid w:val="0"/>
                    <w:spacing w:line="240" w:lineRule="auto"/>
                    <w:jc w:val="center"/>
                    <w:rPr>
                      <w:color w:val="auto"/>
                      <w:sz w:val="21"/>
                      <w:szCs w:val="21"/>
                      <w:highlight w:val="none"/>
                    </w:rPr>
                  </w:pPr>
                </w:p>
              </w:tc>
              <w:tc>
                <w:tcPr>
                  <w:tcW w:w="678" w:type="pct"/>
                  <w:vMerge w:val="continue"/>
                  <w:shd w:val="clear" w:color="auto" w:fill="auto"/>
                  <w:vAlign w:val="center"/>
                </w:tcPr>
                <w:p w14:paraId="5F41317B">
                  <w:pPr>
                    <w:autoSpaceDN w:val="0"/>
                    <w:snapToGrid w:val="0"/>
                    <w:spacing w:line="240" w:lineRule="auto"/>
                    <w:jc w:val="center"/>
                    <w:rPr>
                      <w:rFonts w:hint="eastAsia"/>
                      <w:color w:val="auto"/>
                      <w:sz w:val="21"/>
                      <w:szCs w:val="21"/>
                      <w:highlight w:val="none"/>
                      <w:lang w:val="en-US" w:eastAsia="zh-CN"/>
                    </w:rPr>
                  </w:pPr>
                </w:p>
              </w:tc>
              <w:tc>
                <w:tcPr>
                  <w:tcW w:w="1596" w:type="dxa"/>
                  <w:shd w:val="clear" w:color="auto" w:fill="auto"/>
                  <w:vAlign w:val="center"/>
                </w:tcPr>
                <w:p w14:paraId="429AB6D5">
                  <w:pPr>
                    <w:autoSpaceDN w:val="0"/>
                    <w:snapToGrid w:val="0"/>
                    <w:spacing w:line="240" w:lineRule="auto"/>
                    <w:jc w:val="center"/>
                    <w:rPr>
                      <w:rFonts w:hint="eastAsia"/>
                      <w:color w:val="auto"/>
                      <w:sz w:val="21"/>
                      <w:szCs w:val="21"/>
                      <w:highlight w:val="none"/>
                    </w:rPr>
                  </w:pPr>
                  <w:r>
                    <w:rPr>
                      <w:rFonts w:hint="eastAsia"/>
                      <w:color w:val="auto"/>
                      <w:sz w:val="21"/>
                      <w:szCs w:val="21"/>
                      <w:highlight w:val="none"/>
                      <w:lang w:val="en-US" w:eastAsia="zh-CN"/>
                    </w:rPr>
                    <w:t>架空线路</w:t>
                  </w:r>
                </w:p>
              </w:tc>
              <w:tc>
                <w:tcPr>
                  <w:tcW w:w="3651" w:type="dxa"/>
                  <w:shd w:val="clear" w:color="auto" w:fill="auto"/>
                  <w:vAlign w:val="center"/>
                </w:tcPr>
                <w:p w14:paraId="1AFA7C47">
                  <w:pPr>
                    <w:autoSpaceDN w:val="0"/>
                    <w:snapToGrid w:val="0"/>
                    <w:spacing w:line="240" w:lineRule="auto"/>
                    <w:jc w:val="center"/>
                    <w:rPr>
                      <w:rFonts w:hint="eastAsia"/>
                      <w:color w:val="auto"/>
                      <w:sz w:val="21"/>
                      <w:szCs w:val="21"/>
                      <w:highlight w:val="none"/>
                    </w:rPr>
                  </w:pPr>
                  <w:r>
                    <w:rPr>
                      <w:rFonts w:hint="eastAsia"/>
                      <w:color w:val="auto"/>
                      <w:sz w:val="21"/>
                      <w:szCs w:val="21"/>
                      <w:highlight w:val="none"/>
                    </w:rPr>
                    <w:t>边导线地面投影外两侧各1</w:t>
                  </w:r>
                  <w:r>
                    <w:rPr>
                      <w:rFonts w:hint="eastAsia"/>
                      <w:color w:val="auto"/>
                      <w:sz w:val="21"/>
                      <w:szCs w:val="21"/>
                      <w:highlight w:val="none"/>
                      <w:lang w:val="en-US" w:eastAsia="zh-CN"/>
                    </w:rPr>
                    <w:t>0</w:t>
                  </w:r>
                  <w:r>
                    <w:rPr>
                      <w:rFonts w:hint="eastAsia"/>
                      <w:color w:val="auto"/>
                      <w:sz w:val="21"/>
                      <w:szCs w:val="21"/>
                      <w:highlight w:val="none"/>
                    </w:rPr>
                    <w:t>m范围内</w:t>
                  </w:r>
                  <w:r>
                    <w:rPr>
                      <w:rFonts w:hint="eastAsia"/>
                      <w:color w:val="auto"/>
                      <w:sz w:val="21"/>
                      <w:szCs w:val="21"/>
                      <w:highlight w:val="none"/>
                      <w:lang w:val="en-US" w:eastAsia="zh-CN"/>
                    </w:rPr>
                    <w:t>无</w:t>
                  </w:r>
                  <w:r>
                    <w:rPr>
                      <w:rFonts w:hint="eastAsia"/>
                      <w:color w:val="auto"/>
                      <w:sz w:val="21"/>
                      <w:szCs w:val="21"/>
                      <w:highlight w:val="none"/>
                    </w:rPr>
                    <w:t>电磁环境敏感目标的架空线</w:t>
                  </w:r>
                </w:p>
              </w:tc>
              <w:tc>
                <w:tcPr>
                  <w:tcW w:w="1358" w:type="dxa"/>
                  <w:shd w:val="clear" w:color="auto" w:fill="auto"/>
                  <w:vAlign w:val="center"/>
                </w:tcPr>
                <w:p w14:paraId="3AD2D012">
                  <w:pPr>
                    <w:autoSpaceDN w:val="0"/>
                    <w:snapToGrid w:val="0"/>
                    <w:spacing w:line="24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三级</w:t>
                  </w:r>
                </w:p>
              </w:tc>
            </w:tr>
          </w:tbl>
          <w:p w14:paraId="2A76B830">
            <w:pPr>
              <w:pStyle w:val="120"/>
              <w:ind w:firstLine="480"/>
              <w:rPr>
                <w:rFonts w:hint="default" w:eastAsia="宋体"/>
                <w:color w:val="auto"/>
                <w:highlight w:val="none"/>
                <w:lang w:val="en-US" w:eastAsia="zh-CN"/>
              </w:rPr>
            </w:pPr>
            <w:r>
              <w:rPr>
                <w:rFonts w:hint="eastAsia"/>
                <w:color w:val="auto"/>
                <w:highlight w:val="none"/>
                <w:lang w:val="en-US" w:eastAsia="zh-CN"/>
              </w:rPr>
              <w:t>综上所述，本项目电磁环境影响评价工作等级为三级。</w:t>
            </w:r>
          </w:p>
          <w:p w14:paraId="3A3D80AA">
            <w:pPr>
              <w:pStyle w:val="120"/>
              <w:ind w:firstLine="480"/>
              <w:rPr>
                <w:color w:val="auto"/>
                <w:highlight w:val="none"/>
              </w:rPr>
            </w:pPr>
            <w:r>
              <w:rPr>
                <w:color w:val="auto"/>
                <w:highlight w:val="none"/>
              </w:rPr>
              <w:t>（2）声环境</w:t>
            </w:r>
          </w:p>
          <w:p w14:paraId="60623B48">
            <w:pPr>
              <w:pStyle w:val="120"/>
              <w:ind w:firstLine="480"/>
              <w:rPr>
                <w:color w:val="auto"/>
                <w:highlight w:val="none"/>
              </w:rPr>
            </w:pPr>
            <w:r>
              <w:rPr>
                <w:color w:val="auto"/>
                <w:highlight w:val="none"/>
              </w:rPr>
              <w:t>本工程</w:t>
            </w:r>
            <w:r>
              <w:rPr>
                <w:rFonts w:hint="eastAsia"/>
                <w:color w:val="auto"/>
                <w:highlight w:val="none"/>
                <w:lang w:val="en-US" w:eastAsia="zh-CN"/>
              </w:rPr>
              <w:t>架空线路位于柳北区</w:t>
            </w:r>
            <w:r>
              <w:rPr>
                <w:rFonts w:hint="eastAsia"/>
                <w:color w:val="auto"/>
                <w:highlight w:val="none"/>
              </w:rPr>
              <w:t>，</w:t>
            </w:r>
            <w:r>
              <w:rPr>
                <w:color w:val="auto"/>
                <w:highlight w:val="none"/>
              </w:rPr>
              <w:t>所处的声环境功能区主要为</w:t>
            </w:r>
            <w:r>
              <w:rPr>
                <w:rFonts w:hint="eastAsia"/>
                <w:color w:val="auto"/>
                <w:highlight w:val="none"/>
              </w:rPr>
              <w:t>“</w:t>
            </w:r>
            <w:r>
              <w:rPr>
                <w:rFonts w:hint="eastAsia"/>
                <w:color w:val="auto"/>
                <w:highlight w:val="none"/>
                <w:lang w:val="en-US" w:eastAsia="zh-CN"/>
              </w:rPr>
              <w:t>4a类</w:t>
            </w:r>
            <w:r>
              <w:rPr>
                <w:rFonts w:hint="eastAsia"/>
                <w:color w:val="auto"/>
                <w:highlight w:val="none"/>
                <w:lang w:eastAsia="zh-CN"/>
              </w:rPr>
              <w:t>”区域</w:t>
            </w:r>
            <w:r>
              <w:rPr>
                <w:color w:val="auto"/>
                <w:highlight w:val="none"/>
              </w:rPr>
              <w:t>。本</w:t>
            </w:r>
            <w:r>
              <w:rPr>
                <w:rFonts w:hint="eastAsia"/>
                <w:color w:val="auto"/>
                <w:highlight w:val="none"/>
              </w:rPr>
              <w:t>项目</w:t>
            </w:r>
            <w:r>
              <w:rPr>
                <w:color w:val="auto"/>
                <w:highlight w:val="none"/>
              </w:rPr>
              <w:t>建成后评价范围内敏感目标噪声级增量</w:t>
            </w:r>
            <w:r>
              <w:rPr>
                <w:rFonts w:hint="eastAsia"/>
                <w:color w:val="auto"/>
                <w:highlight w:val="none"/>
                <w:lang w:val="en-US" w:eastAsia="zh-CN"/>
              </w:rPr>
              <w:t>在3dB(A)以下</w:t>
            </w:r>
            <w:r>
              <w:rPr>
                <w:color w:val="auto"/>
                <w:highlight w:val="none"/>
              </w:rPr>
              <w:t>，且受影响人口数量变化不大。因此，根据《环境影响评价技术导则</w:t>
            </w:r>
            <w:r>
              <w:rPr>
                <w:rFonts w:hint="eastAsia"/>
                <w:color w:val="auto"/>
                <w:highlight w:val="none"/>
              </w:rPr>
              <w:t xml:space="preserve"> </w:t>
            </w:r>
            <w:r>
              <w:rPr>
                <w:color w:val="auto"/>
                <w:highlight w:val="none"/>
              </w:rPr>
              <w:t>声环境》（HJ2.4-2021）中相关规定，本</w:t>
            </w:r>
            <w:r>
              <w:rPr>
                <w:rFonts w:hint="eastAsia"/>
                <w:color w:val="auto"/>
                <w:highlight w:val="none"/>
              </w:rPr>
              <w:t>项目</w:t>
            </w:r>
            <w:r>
              <w:rPr>
                <w:color w:val="auto"/>
                <w:highlight w:val="none"/>
              </w:rPr>
              <w:t>的噪声评价工作等级确定为</w:t>
            </w:r>
            <w:r>
              <w:rPr>
                <w:rFonts w:hint="eastAsia"/>
                <w:color w:val="auto"/>
                <w:highlight w:val="none"/>
                <w:lang w:val="en-US" w:eastAsia="zh-CN"/>
              </w:rPr>
              <w:t>三</w:t>
            </w:r>
            <w:r>
              <w:rPr>
                <w:color w:val="auto"/>
                <w:highlight w:val="none"/>
              </w:rPr>
              <w:t>级。</w:t>
            </w:r>
          </w:p>
          <w:p w14:paraId="492E71A2">
            <w:pPr>
              <w:pStyle w:val="120"/>
              <w:ind w:firstLine="480"/>
              <w:rPr>
                <w:color w:val="auto"/>
                <w:highlight w:val="none"/>
              </w:rPr>
            </w:pPr>
            <w:r>
              <w:rPr>
                <w:color w:val="auto"/>
                <w:highlight w:val="none"/>
              </w:rPr>
              <w:t>（3）生态环境</w:t>
            </w:r>
          </w:p>
          <w:p w14:paraId="15CA3EA1">
            <w:pPr>
              <w:pStyle w:val="120"/>
              <w:ind w:firstLine="480"/>
              <w:rPr>
                <w:color w:val="auto"/>
                <w:highlight w:val="none"/>
              </w:rPr>
            </w:pPr>
            <w:r>
              <w:rPr>
                <w:rFonts w:hint="default" w:ascii="Times New Roman" w:hAnsi="Times New Roman" w:eastAsia="宋体" w:cs="Times New Roman"/>
                <w:color w:val="auto"/>
                <w:sz w:val="24"/>
                <w:highlight w:val="none"/>
              </w:rPr>
              <w:t>根据《环境影响评价技术导则 生态影响》（HJ 19-2022）</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6.1.2 g）除本条a）、b）、c）、d）、e）、f）以外的情况，评价等级为三级</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，本项目不涉及国家公园、自然保护区、世界自然遗产、重要生境，不涉及自然公园，不涉及生态保护红线</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不属于HJ 2.3判断的属于水文要素影响型且地表水评价等级不低于二级的建设项目</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不属于根据HJ 610、HJ 964判断的地下水水位或土壤影响范围内分布有天然林、公益林、湿地等生态敏感区的建设项目</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项目总占地面积约</w:t>
            </w:r>
            <w:r>
              <w:rPr>
                <w:rFonts w:hint="eastAsia" w:cs="Times New Roman"/>
                <w:color w:val="auto"/>
                <w:sz w:val="24"/>
                <w:highlight w:val="none"/>
                <w:lang w:val="en-US" w:eastAsia="zh-CN"/>
              </w:rPr>
              <w:t>3020</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2</w:t>
            </w:r>
            <w:r>
              <w:rPr>
                <w:rFonts w:hint="eastAsia" w:ascii="Times New Roman" w:hAnsi="Times New Roman" w:eastAsia="宋体" w:cs="Times New Roman"/>
                <w:color w:val="auto"/>
                <w:sz w:val="24"/>
                <w:highlight w:val="none"/>
                <w:lang w:val="en-US" w:eastAsia="zh-CN"/>
              </w:rPr>
              <w:t>，小于20km</w:t>
            </w:r>
            <w:r>
              <w:rPr>
                <w:rFonts w:hint="eastAsia" w:ascii="Times New Roman" w:hAnsi="Times New Roman" w:eastAsia="宋体" w:cs="Times New Roman"/>
                <w:color w:val="auto"/>
                <w:sz w:val="24"/>
                <w:highlight w:val="none"/>
                <w:vertAlign w:val="superscript"/>
                <w:lang w:val="en-US" w:eastAsia="zh-CN"/>
              </w:rPr>
              <w:t>2</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因此</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可判定本项目生态影响评价工作等级为三级。</w:t>
            </w:r>
          </w:p>
          <w:p w14:paraId="0AD153C0">
            <w:pPr>
              <w:pStyle w:val="120"/>
              <w:ind w:firstLine="480"/>
              <w:rPr>
                <w:color w:val="auto"/>
                <w:highlight w:val="none"/>
              </w:rPr>
            </w:pPr>
            <w:r>
              <w:rPr>
                <w:color w:val="auto"/>
                <w:highlight w:val="none"/>
              </w:rPr>
              <w:t>（4）水环境</w:t>
            </w:r>
          </w:p>
          <w:p w14:paraId="56A51D9C">
            <w:pPr>
              <w:tabs>
                <w:tab w:val="left" w:pos="7200"/>
              </w:tabs>
              <w:spacing w:line="348" w:lineRule="auto"/>
              <w:ind w:firstLine="480" w:firstLineChars="200"/>
              <w:rPr>
                <w:color w:val="auto"/>
                <w:sz w:val="24"/>
                <w:highlight w:val="none"/>
              </w:rPr>
            </w:pPr>
            <w:r>
              <w:rPr>
                <w:color w:val="auto"/>
                <w:sz w:val="24"/>
                <w:highlight w:val="none"/>
              </w:rPr>
              <w:t>根据《环境影响评价技术导则 地表水环境》（</w:t>
            </w:r>
            <w:r>
              <w:rPr>
                <w:rFonts w:hint="eastAsia"/>
                <w:color w:val="auto"/>
                <w:sz w:val="24"/>
                <w:highlight w:val="none"/>
                <w:lang w:eastAsia="zh-CN"/>
              </w:rPr>
              <w:t xml:space="preserve">HJ </w:t>
            </w:r>
            <w:r>
              <w:rPr>
                <w:color w:val="auto"/>
                <w:sz w:val="24"/>
                <w:highlight w:val="none"/>
              </w:rPr>
              <w:t>2.3-2018），本项目新建</w:t>
            </w:r>
            <w:r>
              <w:rPr>
                <w:color w:val="auto"/>
                <w:sz w:val="24"/>
                <w:szCs w:val="32"/>
                <w:highlight w:val="none"/>
              </w:rPr>
              <w:t>线路运行期无废水产生</w:t>
            </w:r>
            <w:r>
              <w:rPr>
                <w:color w:val="auto"/>
                <w:sz w:val="24"/>
                <w:highlight w:val="none"/>
              </w:rPr>
              <w:t>，故地表水环境影响评价等级按三级B评价。</w:t>
            </w:r>
          </w:p>
          <w:p w14:paraId="3E29CB84">
            <w:pPr>
              <w:autoSpaceDN w:val="0"/>
              <w:spacing w:line="360" w:lineRule="auto"/>
              <w:rPr>
                <w:b/>
                <w:bCs/>
                <w:color w:val="auto"/>
                <w:sz w:val="24"/>
                <w:highlight w:val="none"/>
              </w:rPr>
            </w:pPr>
            <w:r>
              <w:rPr>
                <w:b/>
                <w:bCs/>
                <w:color w:val="auto"/>
                <w:sz w:val="24"/>
                <w:highlight w:val="none"/>
              </w:rPr>
              <w:t>2. 评价范围</w:t>
            </w:r>
          </w:p>
          <w:p w14:paraId="10636376">
            <w:pPr>
              <w:spacing w:line="360" w:lineRule="auto"/>
              <w:ind w:firstLine="480" w:firstLineChars="200"/>
              <w:rPr>
                <w:color w:val="auto"/>
                <w:sz w:val="24"/>
                <w:highlight w:val="none"/>
              </w:rPr>
            </w:pPr>
            <w:r>
              <w:rPr>
                <w:color w:val="auto"/>
                <w:sz w:val="24"/>
                <w:highlight w:val="none"/>
              </w:rPr>
              <w:t>根据《环境影响评价技术导则 输变电》</w:t>
            </w:r>
            <w:r>
              <w:rPr>
                <w:rFonts w:hint="eastAsia"/>
                <w:color w:val="auto"/>
                <w:sz w:val="24"/>
                <w:highlight w:val="none"/>
                <w:lang w:eastAsia="zh-CN"/>
              </w:rPr>
              <w:t xml:space="preserve">（HJ </w:t>
            </w:r>
            <w:r>
              <w:rPr>
                <w:color w:val="auto"/>
                <w:sz w:val="24"/>
                <w:highlight w:val="none"/>
              </w:rPr>
              <w:t>24-2020</w:t>
            </w:r>
            <w:r>
              <w:rPr>
                <w:rFonts w:hint="eastAsia"/>
                <w:color w:val="auto"/>
                <w:sz w:val="24"/>
                <w:highlight w:val="none"/>
                <w:lang w:eastAsia="zh-CN"/>
              </w:rPr>
              <w:t>）</w:t>
            </w:r>
            <w:r>
              <w:rPr>
                <w:color w:val="auto"/>
                <w:sz w:val="24"/>
                <w:highlight w:val="none"/>
              </w:rPr>
              <w:t>，本次评价范围：</w:t>
            </w:r>
          </w:p>
          <w:p w14:paraId="4A3C3CFE">
            <w:pPr>
              <w:spacing w:line="360" w:lineRule="auto"/>
              <w:ind w:firstLine="480" w:firstLineChars="200"/>
              <w:rPr>
                <w:color w:val="auto"/>
                <w:sz w:val="24"/>
                <w:highlight w:val="none"/>
              </w:rPr>
            </w:pPr>
            <w:r>
              <w:rPr>
                <w:color w:val="auto"/>
                <w:sz w:val="24"/>
                <w:highlight w:val="none"/>
              </w:rPr>
              <w:t>（1）电磁环境</w:t>
            </w:r>
          </w:p>
          <w:p w14:paraId="301CE463">
            <w:pPr>
              <w:spacing w:line="360" w:lineRule="auto"/>
              <w:ind w:firstLine="480" w:firstLineChars="200"/>
              <w:rPr>
                <w:rFonts w:hint="eastAsia"/>
                <w:color w:val="auto"/>
                <w:sz w:val="24"/>
                <w:highlight w:val="none"/>
                <w:lang w:val="en-US" w:eastAsia="zh-CN"/>
              </w:rPr>
            </w:pPr>
            <w:bookmarkStart w:id="23" w:name="_Hlk97500922"/>
            <w:r>
              <w:rPr>
                <w:rFonts w:hint="eastAsia"/>
                <w:color w:val="auto"/>
                <w:sz w:val="24"/>
                <w:highlight w:val="none"/>
                <w:lang w:val="en-US" w:eastAsia="zh-CN"/>
              </w:rPr>
              <w:t>架空</w:t>
            </w:r>
            <w:r>
              <w:rPr>
                <w:color w:val="auto"/>
                <w:sz w:val="24"/>
                <w:highlight w:val="none"/>
              </w:rPr>
              <w:t>线路边导线地面投影外两侧各</w:t>
            </w:r>
            <w:r>
              <w:rPr>
                <w:rFonts w:hint="eastAsia"/>
                <w:color w:val="auto"/>
                <w:sz w:val="24"/>
                <w:highlight w:val="none"/>
                <w:lang w:val="en-US" w:eastAsia="zh-CN"/>
              </w:rPr>
              <w:t>30</w:t>
            </w:r>
            <w:r>
              <w:rPr>
                <w:color w:val="auto"/>
                <w:sz w:val="24"/>
                <w:highlight w:val="none"/>
              </w:rPr>
              <w:t>m范围内带状区域。</w:t>
            </w:r>
          </w:p>
          <w:p w14:paraId="0E343636">
            <w:pPr>
              <w:spacing w:line="360" w:lineRule="auto"/>
              <w:ind w:firstLine="480" w:firstLineChars="200"/>
              <w:rPr>
                <w:color w:val="auto"/>
                <w:sz w:val="24"/>
                <w:highlight w:val="none"/>
              </w:rPr>
            </w:pPr>
            <w:r>
              <w:rPr>
                <w:rFonts w:hint="eastAsia"/>
                <w:color w:val="auto"/>
                <w:sz w:val="24"/>
                <w:highlight w:val="none"/>
                <w:lang w:val="en-US" w:eastAsia="zh-CN"/>
              </w:rPr>
              <w:t>电缆</w:t>
            </w:r>
            <w:r>
              <w:rPr>
                <w:rFonts w:hint="eastAsia"/>
                <w:color w:val="auto"/>
                <w:sz w:val="24"/>
                <w:highlight w:val="none"/>
              </w:rPr>
              <w:t>管廊两侧边缘各外延5m（水平距离）</w:t>
            </w:r>
            <w:r>
              <w:rPr>
                <w:color w:val="auto"/>
                <w:sz w:val="24"/>
                <w:highlight w:val="none"/>
              </w:rPr>
              <w:t>。</w:t>
            </w:r>
          </w:p>
          <w:bookmarkEnd w:id="23"/>
          <w:p w14:paraId="1E66E3E5">
            <w:pPr>
              <w:spacing w:line="360" w:lineRule="auto"/>
              <w:ind w:firstLine="480" w:firstLineChars="200"/>
              <w:rPr>
                <w:color w:val="auto"/>
                <w:sz w:val="24"/>
                <w:highlight w:val="none"/>
              </w:rPr>
            </w:pPr>
            <w:r>
              <w:rPr>
                <w:color w:val="auto"/>
                <w:sz w:val="24"/>
                <w:highlight w:val="none"/>
              </w:rPr>
              <w:t>（2）噪声</w:t>
            </w:r>
          </w:p>
          <w:p w14:paraId="04B73FFB">
            <w:pPr>
              <w:pStyle w:val="120"/>
              <w:pageBreakBefore w:val="0"/>
              <w:widowControl w:val="0"/>
              <w:kinsoku/>
              <w:wordWrap/>
              <w:overflowPunct/>
              <w:topLinePunct w:val="0"/>
              <w:autoSpaceDE/>
              <w:autoSpaceDN/>
              <w:bidi w:val="0"/>
              <w:snapToGrid/>
              <w:spacing w:line="360" w:lineRule="auto"/>
              <w:ind w:firstLine="480"/>
              <w:textAlignment w:val="auto"/>
              <w:rPr>
                <w:rFonts w:hint="eastAsia"/>
                <w:color w:val="auto"/>
                <w:highlight w:val="none"/>
                <w:lang w:val="en-US" w:eastAsia="zh-CN"/>
              </w:rPr>
            </w:pPr>
            <w:r>
              <w:rPr>
                <w:rFonts w:hint="eastAsia"/>
                <w:color w:val="auto"/>
                <w:sz w:val="24"/>
                <w:highlight w:val="none"/>
                <w:lang w:val="en-US" w:eastAsia="zh-CN"/>
              </w:rPr>
              <w:t>架空</w:t>
            </w:r>
            <w:r>
              <w:rPr>
                <w:color w:val="auto"/>
                <w:sz w:val="24"/>
                <w:highlight w:val="none"/>
              </w:rPr>
              <w:t>线路边导线地面投影外两侧各</w:t>
            </w:r>
            <w:r>
              <w:rPr>
                <w:rFonts w:hint="eastAsia"/>
                <w:color w:val="auto"/>
                <w:sz w:val="24"/>
                <w:highlight w:val="none"/>
                <w:lang w:val="en-US" w:eastAsia="zh-CN"/>
              </w:rPr>
              <w:t>30</w:t>
            </w:r>
            <w:r>
              <w:rPr>
                <w:color w:val="auto"/>
                <w:sz w:val="24"/>
                <w:highlight w:val="none"/>
              </w:rPr>
              <w:t>m范围内带状区域。</w:t>
            </w:r>
          </w:p>
          <w:p w14:paraId="3B825BE3">
            <w:pPr>
              <w:pStyle w:val="120"/>
              <w:pageBreakBefore w:val="0"/>
              <w:widowControl w:val="0"/>
              <w:kinsoku/>
              <w:wordWrap/>
              <w:overflowPunct/>
              <w:topLinePunct w:val="0"/>
              <w:autoSpaceDE/>
              <w:autoSpaceDN/>
              <w:bidi w:val="0"/>
              <w:snapToGrid/>
              <w:spacing w:line="360" w:lineRule="auto"/>
              <w:ind w:firstLine="480"/>
              <w:textAlignment w:val="auto"/>
              <w:rPr>
                <w:color w:val="auto"/>
                <w:sz w:val="24"/>
                <w:highlight w:val="none"/>
              </w:rPr>
            </w:pPr>
            <w:r>
              <w:rPr>
                <w:rFonts w:hint="eastAsia"/>
                <w:color w:val="auto"/>
                <w:highlight w:val="none"/>
                <w:lang w:val="en-US" w:eastAsia="zh-CN"/>
              </w:rPr>
              <w:t>地下电缆</w:t>
            </w:r>
            <w:r>
              <w:rPr>
                <w:color w:val="auto"/>
                <w:highlight w:val="none"/>
              </w:rPr>
              <w:t>线路</w:t>
            </w:r>
            <w:r>
              <w:rPr>
                <w:rFonts w:hint="eastAsia"/>
                <w:color w:val="auto"/>
                <w:highlight w:val="none"/>
                <w:lang w:val="en-US" w:eastAsia="zh-CN"/>
              </w:rPr>
              <w:t>可不进行声环境影响评价</w:t>
            </w:r>
            <w:r>
              <w:rPr>
                <w:color w:val="auto"/>
                <w:highlight w:val="none"/>
              </w:rPr>
              <w:t>。</w:t>
            </w:r>
          </w:p>
          <w:p w14:paraId="7A114712">
            <w:pPr>
              <w:autoSpaceDN w:val="0"/>
              <w:spacing w:line="360" w:lineRule="auto"/>
              <w:ind w:firstLine="480" w:firstLineChars="200"/>
              <w:rPr>
                <w:color w:val="auto"/>
                <w:sz w:val="24"/>
                <w:highlight w:val="none"/>
              </w:rPr>
            </w:pPr>
            <w:r>
              <w:rPr>
                <w:color w:val="auto"/>
                <w:sz w:val="24"/>
                <w:highlight w:val="none"/>
              </w:rPr>
              <w:t>（3）水环境</w:t>
            </w:r>
          </w:p>
          <w:p w14:paraId="1375D2E6">
            <w:pPr>
              <w:autoSpaceDN w:val="0"/>
              <w:spacing w:line="360" w:lineRule="auto"/>
              <w:ind w:firstLine="480" w:firstLineChars="200"/>
              <w:rPr>
                <w:color w:val="auto"/>
                <w:sz w:val="24"/>
                <w:highlight w:val="none"/>
              </w:rPr>
            </w:pPr>
            <w:r>
              <w:rPr>
                <w:color w:val="auto"/>
                <w:sz w:val="24"/>
                <w:highlight w:val="none"/>
              </w:rPr>
              <w:t>输电线路运行期间无废污水产生，</w:t>
            </w:r>
            <w:r>
              <w:rPr>
                <w:rFonts w:hint="eastAsia"/>
                <w:color w:val="auto"/>
                <w:sz w:val="24"/>
                <w:highlight w:val="none"/>
                <w:lang w:val="en-US" w:eastAsia="zh-CN"/>
              </w:rPr>
              <w:t>不</w:t>
            </w:r>
            <w:r>
              <w:rPr>
                <w:color w:val="auto"/>
                <w:sz w:val="24"/>
                <w:highlight w:val="none"/>
              </w:rPr>
              <w:t>设置地表水环境评价范围。</w:t>
            </w:r>
          </w:p>
          <w:p w14:paraId="37D9A146">
            <w:pPr>
              <w:spacing w:line="360" w:lineRule="auto"/>
              <w:ind w:firstLine="480" w:firstLineChars="200"/>
              <w:rPr>
                <w:color w:val="auto"/>
                <w:sz w:val="24"/>
                <w:highlight w:val="none"/>
              </w:rPr>
            </w:pPr>
            <w:r>
              <w:rPr>
                <w:color w:val="auto"/>
                <w:sz w:val="24"/>
                <w:highlight w:val="none"/>
              </w:rPr>
              <w:t>（4）生态环境</w:t>
            </w:r>
          </w:p>
          <w:p w14:paraId="4346143F">
            <w:pPr>
              <w:spacing w:line="360" w:lineRule="auto"/>
              <w:ind w:firstLine="480" w:firstLineChars="200"/>
              <w:rPr>
                <w:color w:val="auto"/>
                <w:sz w:val="24"/>
                <w:highlight w:val="none"/>
              </w:rPr>
            </w:pPr>
            <w:r>
              <w:rPr>
                <w:rFonts w:hint="eastAsia"/>
                <w:color w:val="auto"/>
                <w:sz w:val="24"/>
                <w:highlight w:val="none"/>
                <w:lang w:val="en-US" w:eastAsia="zh-CN"/>
              </w:rPr>
              <w:t>架空</w:t>
            </w:r>
            <w:r>
              <w:rPr>
                <w:color w:val="auto"/>
                <w:sz w:val="24"/>
                <w:highlight w:val="none"/>
              </w:rPr>
              <w:t>线路边导线地面投影外两侧各300m带状区域范围内。</w:t>
            </w:r>
          </w:p>
          <w:p w14:paraId="3DC2021C">
            <w:pPr>
              <w:pStyle w:val="4"/>
              <w:keepNext w:val="0"/>
              <w:keepLines w:val="0"/>
              <w:pageBreakBefore w:val="0"/>
              <w:widowControl w:val="0"/>
              <w:kinsoku/>
              <w:wordWrap/>
              <w:overflowPunct/>
              <w:topLinePunct w:val="0"/>
              <w:autoSpaceDE/>
              <w:autoSpaceDN/>
              <w:bidi w:val="0"/>
              <w:snapToGrid/>
              <w:spacing w:line="360" w:lineRule="auto"/>
              <w:textAlignment w:val="auto"/>
              <w:rPr>
                <w:color w:val="auto"/>
                <w:sz w:val="24"/>
                <w:highlight w:val="none"/>
              </w:rPr>
            </w:pPr>
            <w:r>
              <w:rPr>
                <w:rFonts w:hint="eastAsia" w:ascii="Times New Roman" w:hAnsi="Times New Roman" w:eastAsia="宋体" w:cs="Times New Roman"/>
                <w:color w:val="auto"/>
                <w:sz w:val="24"/>
                <w:highlight w:val="none"/>
                <w:lang w:val="en-US" w:eastAsia="zh-CN"/>
              </w:rPr>
              <w:t>新建电缆管廊外两侧各300m的带状区域。</w:t>
            </w:r>
          </w:p>
          <w:p w14:paraId="525D681A">
            <w:pPr>
              <w:keepNext/>
              <w:keepLines/>
              <w:tabs>
                <w:tab w:val="left" w:pos="420"/>
                <w:tab w:val="left" w:pos="567"/>
              </w:tabs>
              <w:spacing w:line="360" w:lineRule="auto"/>
              <w:jc w:val="left"/>
              <w:outlineLvl w:val="1"/>
              <w:rPr>
                <w:rFonts w:hint="eastAsia"/>
                <w:b/>
                <w:bCs/>
                <w:color w:val="auto"/>
                <w:sz w:val="24"/>
                <w:highlight w:val="none"/>
              </w:rPr>
            </w:pPr>
            <w:r>
              <w:rPr>
                <w:rFonts w:hint="eastAsia"/>
                <w:b/>
                <w:bCs/>
                <w:color w:val="auto"/>
                <w:sz w:val="24"/>
                <w:highlight w:val="none"/>
                <w:lang w:val="en-US" w:eastAsia="zh-CN"/>
              </w:rPr>
              <w:t>3</w:t>
            </w:r>
            <w:r>
              <w:rPr>
                <w:rFonts w:hint="eastAsia"/>
                <w:b/>
                <w:bCs/>
                <w:color w:val="auto"/>
                <w:sz w:val="24"/>
                <w:highlight w:val="none"/>
              </w:rPr>
              <w:t>.环境保护目标</w:t>
            </w:r>
          </w:p>
          <w:p w14:paraId="32DC0D23">
            <w:pPr>
              <w:spacing w:line="360" w:lineRule="auto"/>
              <w:ind w:firstLine="480" w:firstLineChars="200"/>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根据《环境影响评价技术导则 输变电》（HJ 24-2020）中“4.8 环境敏感目标”条款要求，输变电项目环境敏感目标主要为生态敏感区、水环境敏感区、电磁环境敏感目标和声环境敏感目标。</w:t>
            </w:r>
          </w:p>
          <w:p w14:paraId="646F9D16">
            <w:pPr>
              <w:keepNext/>
              <w:keepLines/>
              <w:tabs>
                <w:tab w:val="left" w:pos="420"/>
                <w:tab w:val="left" w:pos="567"/>
              </w:tabs>
              <w:spacing w:line="360" w:lineRule="auto"/>
              <w:jc w:val="left"/>
              <w:outlineLvl w:val="1"/>
              <w:rPr>
                <w:b/>
                <w:bCs/>
                <w:color w:val="auto"/>
                <w:sz w:val="24"/>
                <w:highlight w:val="none"/>
              </w:rPr>
            </w:pPr>
            <w:r>
              <w:rPr>
                <w:rFonts w:hint="eastAsia"/>
                <w:b/>
                <w:bCs/>
                <w:color w:val="auto"/>
                <w:sz w:val="24"/>
                <w:highlight w:val="none"/>
                <w:lang w:val="en-US" w:eastAsia="zh-CN"/>
              </w:rPr>
              <w:t>3</w:t>
            </w:r>
            <w:r>
              <w:rPr>
                <w:rFonts w:hint="eastAsia"/>
                <w:b/>
                <w:bCs/>
                <w:color w:val="auto"/>
                <w:sz w:val="24"/>
                <w:highlight w:val="none"/>
              </w:rPr>
              <w:t>.1</w:t>
            </w:r>
            <w:r>
              <w:rPr>
                <w:b/>
                <w:bCs/>
                <w:color w:val="auto"/>
                <w:sz w:val="24"/>
                <w:highlight w:val="none"/>
              </w:rPr>
              <w:t>生态</w:t>
            </w:r>
            <w:r>
              <w:rPr>
                <w:rFonts w:hint="eastAsia"/>
                <w:b/>
                <w:bCs/>
                <w:color w:val="auto"/>
                <w:sz w:val="24"/>
                <w:highlight w:val="none"/>
              </w:rPr>
              <w:t>敏感区</w:t>
            </w:r>
          </w:p>
          <w:p w14:paraId="293527EB">
            <w:pPr>
              <w:pStyle w:val="120"/>
              <w:pageBreakBefore w:val="0"/>
              <w:widowControl w:val="0"/>
              <w:kinsoku/>
              <w:wordWrap/>
              <w:overflowPunct/>
              <w:topLinePunct w:val="0"/>
              <w:autoSpaceDE/>
              <w:autoSpaceDN/>
              <w:bidi w:val="0"/>
              <w:adjustRightInd/>
              <w:snapToGrid/>
              <w:ind w:firstLine="480"/>
              <w:jc w:val="both"/>
              <w:textAlignment w:val="auto"/>
              <w:rPr>
                <w:color w:val="auto"/>
                <w:highlight w:val="none"/>
              </w:rPr>
            </w:pPr>
            <w:r>
              <w:rPr>
                <w:rFonts w:hint="eastAsia"/>
                <w:color w:val="auto"/>
                <w:highlight w:val="none"/>
              </w:rPr>
              <w:t>根据现场踏勘和资料分析，本项目评价范围内不涉及《建设项目环境影响评价分类管理名录（2021版）》中第三条（一）类规定的国家公园、自然保护区、风景名胜区、世界文化和自然遗产地、海洋特别保护区、饮用水水源保护区等环境敏感区，也不涉及《环境影响评价技术导则 生态影响》（</w:t>
            </w:r>
            <w:r>
              <w:rPr>
                <w:rFonts w:hint="eastAsia"/>
                <w:color w:val="auto"/>
                <w:highlight w:val="none"/>
                <w:lang w:eastAsia="zh-CN"/>
              </w:rPr>
              <w:t xml:space="preserve">HJ </w:t>
            </w:r>
            <w:r>
              <w:rPr>
                <w:rFonts w:hint="eastAsia"/>
                <w:color w:val="auto"/>
                <w:highlight w:val="none"/>
              </w:rPr>
              <w:t>19-2022）中依据法律法规、政策等规范性文件划定或确认的国家公园、自然保护区、自然公园等自然保护地、世界自然遗产、生态保护红线等区域；也不涉及重要物种的天然集中分布区、栖息地，重要水生生物的产卵场、索饵场、越冬场和洄游通道，迁徙鸟类的重要繁殖地、停歇地、越冬地以及野生动物迁徙通道等，也不涉及</w:t>
            </w:r>
            <w:r>
              <w:rPr>
                <w:rFonts w:hint="eastAsia"/>
                <w:color w:val="auto"/>
                <w:highlight w:val="none"/>
                <w:lang w:val="en-US" w:eastAsia="zh-CN"/>
              </w:rPr>
              <w:t>柳州市</w:t>
            </w:r>
            <w:r>
              <w:rPr>
                <w:rFonts w:hint="eastAsia"/>
                <w:color w:val="auto"/>
                <w:highlight w:val="none"/>
              </w:rPr>
              <w:t>生态保护红线。</w:t>
            </w:r>
          </w:p>
          <w:p w14:paraId="3EC80860">
            <w:pPr>
              <w:keepNext/>
              <w:keepLines/>
              <w:tabs>
                <w:tab w:val="left" w:pos="420"/>
                <w:tab w:val="left" w:pos="567"/>
              </w:tabs>
              <w:spacing w:line="360" w:lineRule="auto"/>
              <w:jc w:val="left"/>
              <w:outlineLvl w:val="1"/>
              <w:rPr>
                <w:b/>
                <w:bCs/>
                <w:color w:val="auto"/>
                <w:sz w:val="24"/>
                <w:highlight w:val="none"/>
              </w:rPr>
            </w:pPr>
            <w:r>
              <w:rPr>
                <w:rFonts w:hint="eastAsia"/>
                <w:b/>
                <w:bCs/>
                <w:color w:val="auto"/>
                <w:sz w:val="24"/>
                <w:highlight w:val="none"/>
                <w:lang w:val="en-US" w:eastAsia="zh-CN"/>
              </w:rPr>
              <w:t>3</w:t>
            </w:r>
            <w:r>
              <w:rPr>
                <w:rFonts w:hint="eastAsia"/>
                <w:b/>
                <w:bCs/>
                <w:color w:val="auto"/>
                <w:sz w:val="24"/>
                <w:highlight w:val="none"/>
              </w:rPr>
              <w:t>.2</w:t>
            </w:r>
            <w:r>
              <w:rPr>
                <w:b/>
                <w:bCs/>
                <w:color w:val="auto"/>
                <w:sz w:val="24"/>
                <w:highlight w:val="none"/>
              </w:rPr>
              <w:t>水环境敏感</w:t>
            </w:r>
            <w:r>
              <w:rPr>
                <w:rFonts w:hint="eastAsia"/>
                <w:b/>
                <w:bCs/>
                <w:color w:val="auto"/>
                <w:sz w:val="24"/>
                <w:highlight w:val="none"/>
              </w:rPr>
              <w:t>区</w:t>
            </w:r>
          </w:p>
          <w:p w14:paraId="55F75DE3">
            <w:pPr>
              <w:spacing w:line="360" w:lineRule="auto"/>
              <w:ind w:firstLine="480" w:firstLineChars="200"/>
              <w:rPr>
                <w:rFonts w:hint="default" w:eastAsia="宋体"/>
                <w:color w:val="auto"/>
                <w:kern w:val="0"/>
                <w:sz w:val="24"/>
                <w:highlight w:val="none"/>
                <w:lang w:val="en-US" w:eastAsia="zh-CN"/>
              </w:rPr>
            </w:pPr>
            <w:r>
              <w:rPr>
                <w:color w:val="auto"/>
                <w:kern w:val="0"/>
                <w:sz w:val="24"/>
                <w:highlight w:val="none"/>
              </w:rPr>
              <w:t>通过现场踏勘和资料分析，本项目评价范围内不涉及《环境影响评价技术导则 地表水环境》（</w:t>
            </w:r>
            <w:r>
              <w:rPr>
                <w:rFonts w:hint="eastAsia"/>
                <w:color w:val="auto"/>
                <w:kern w:val="0"/>
                <w:sz w:val="24"/>
                <w:highlight w:val="none"/>
                <w:lang w:eastAsia="zh-CN"/>
              </w:rPr>
              <w:t xml:space="preserve">HJ </w:t>
            </w:r>
            <w:r>
              <w:rPr>
                <w:color w:val="auto"/>
                <w:kern w:val="0"/>
                <w:sz w:val="24"/>
                <w:highlight w:val="none"/>
              </w:rPr>
              <w:t>2.3-2018）中饮用水水源保护区、饮用水取水口，涉水的自然保护区、风景名胜区，重要湿地、重点保护与珍稀水生生物的栖息地、重要水生生物的自然产卵场及索饵场、越冬场和洄游通道，天然渔场等渔业水体，以及水产种质资源保护区等水环境敏感区。</w:t>
            </w:r>
            <w:r>
              <w:rPr>
                <w:rFonts w:hint="eastAsia"/>
                <w:color w:val="auto"/>
                <w:sz w:val="24"/>
                <w:highlight w:val="none"/>
                <w:lang w:val="en-US" w:eastAsia="zh-CN"/>
              </w:rPr>
              <w:t>距本项目最近饮用水水源保护区为线路西南侧约0.8km的柳西水厂水源地。</w:t>
            </w:r>
          </w:p>
          <w:p w14:paraId="5140D1BE">
            <w:pPr>
              <w:adjustRightInd w:val="0"/>
              <w:snapToGrid w:val="0"/>
              <w:spacing w:line="360" w:lineRule="auto"/>
              <w:rPr>
                <w:rFonts w:hint="default" w:ascii="Times New Roman" w:hAnsi="Times New Roman" w:cs="Times New Roman"/>
                <w:b/>
                <w:bCs/>
                <w:color w:val="auto"/>
                <w:sz w:val="24"/>
                <w:highlight w:val="none"/>
                <w:shd w:val="clear" w:color="auto" w:fill="FFFFFF"/>
              </w:rPr>
            </w:pPr>
            <w:r>
              <w:rPr>
                <w:rFonts w:hint="default" w:ascii="Times New Roman" w:hAnsi="Times New Roman" w:cs="Times New Roman"/>
                <w:b/>
                <w:bCs/>
                <w:color w:val="auto"/>
                <w:sz w:val="24"/>
                <w:highlight w:val="none"/>
                <w:lang w:val="en-US" w:eastAsia="zh-CN"/>
              </w:rPr>
              <w:t>3</w:t>
            </w:r>
            <w:r>
              <w:rPr>
                <w:rFonts w:hint="default" w:ascii="Times New Roman" w:hAnsi="Times New Roman" w:cs="Times New Roman"/>
                <w:b/>
                <w:bCs/>
                <w:color w:val="auto"/>
                <w:sz w:val="24"/>
                <w:highlight w:val="none"/>
              </w:rPr>
              <w:t>.3</w:t>
            </w:r>
            <w:r>
              <w:rPr>
                <w:rFonts w:hint="default" w:ascii="Times New Roman" w:hAnsi="Times New Roman" w:cs="Times New Roman"/>
                <w:b/>
                <w:bCs/>
                <w:color w:val="auto"/>
                <w:sz w:val="24"/>
                <w:highlight w:val="none"/>
                <w:shd w:val="clear" w:color="auto" w:fill="FFFFFF"/>
              </w:rPr>
              <w:t>电磁环境敏感目标</w:t>
            </w:r>
          </w:p>
          <w:p w14:paraId="3DCDB348">
            <w:pPr>
              <w:pStyle w:val="120"/>
              <w:ind w:firstLine="480"/>
              <w:rPr>
                <w:color w:val="auto"/>
                <w:highlight w:val="none"/>
              </w:rPr>
            </w:pPr>
            <w:r>
              <w:rPr>
                <w:rFonts w:hint="default" w:ascii="Times New Roman" w:hAnsi="Times New Roman" w:cs="Times New Roman"/>
                <w:color w:val="auto"/>
                <w:sz w:val="24"/>
                <w:highlight w:val="none"/>
              </w:rPr>
              <w:t>根据现</w:t>
            </w:r>
            <w:r>
              <w:rPr>
                <w:rFonts w:hint="default" w:ascii="Times New Roman" w:hAnsi="Times New Roman" w:cs="Times New Roman"/>
                <w:color w:val="auto"/>
                <w:sz w:val="24"/>
                <w:szCs w:val="24"/>
                <w:highlight w:val="none"/>
              </w:rPr>
              <w:t>场踏勘，</w:t>
            </w:r>
            <w:r>
              <w:rPr>
                <w:rFonts w:hint="default" w:ascii="Times New Roman" w:hAnsi="Times New Roman" w:cs="Times New Roman"/>
                <w:color w:val="auto"/>
                <w:sz w:val="24"/>
                <w:szCs w:val="24"/>
                <w:highlight w:val="none"/>
                <w:lang w:eastAsia="zh-CN"/>
              </w:rPr>
              <w:t>白沙变T接茅洲～柳北110kV线路工程</w:t>
            </w:r>
            <w:r>
              <w:rPr>
                <w:rFonts w:hint="default" w:ascii="Times New Roman" w:hAnsi="Times New Roman" w:cs="Times New Roman"/>
                <w:color w:val="auto"/>
                <w:sz w:val="24"/>
                <w:szCs w:val="24"/>
                <w:highlight w:val="none"/>
                <w:lang w:val="en-US" w:eastAsia="zh-CN"/>
              </w:rPr>
              <w:t>电磁评价范围内有</w:t>
            </w:r>
            <w:r>
              <w:rPr>
                <w:rFonts w:hint="eastAsia"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处</w:t>
            </w:r>
            <w:r>
              <w:rPr>
                <w:rFonts w:hint="default" w:ascii="Times New Roman" w:hAnsi="Times New Roman" w:cs="Times New Roman"/>
                <w:color w:val="auto"/>
                <w:sz w:val="24"/>
                <w:szCs w:val="24"/>
                <w:highlight w:val="none"/>
              </w:rPr>
              <w:t>电磁环境敏感目标</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调整黄村变接线方式</w:t>
            </w:r>
            <w:r>
              <w:rPr>
                <w:rFonts w:hint="default" w:ascii="Times New Roman" w:hAnsi="Times New Roman" w:cs="Times New Roman"/>
                <w:color w:val="auto"/>
                <w:sz w:val="24"/>
                <w:szCs w:val="24"/>
                <w:highlight w:val="none"/>
                <w:lang w:eastAsia="zh-CN"/>
              </w:rPr>
              <w:t>线路</w:t>
            </w:r>
            <w:r>
              <w:rPr>
                <w:rFonts w:hint="default" w:ascii="Times New Roman" w:hAnsi="Times New Roman" w:cs="Times New Roman"/>
                <w:color w:val="auto"/>
                <w:sz w:val="24"/>
                <w:szCs w:val="24"/>
                <w:highlight w:val="none"/>
              </w:rPr>
              <w:t>电磁评价范围内无电磁环境敏感目标</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本项目电磁环境敏感目标详见表3-</w:t>
            </w:r>
            <w:r>
              <w:rPr>
                <w:rFonts w:hint="eastAsia" w:cs="Times New Roman"/>
                <w:color w:val="auto"/>
                <w:sz w:val="24"/>
                <w:szCs w:val="24"/>
                <w:highlight w:val="none"/>
                <w:lang w:val="en-US" w:eastAsia="zh-CN"/>
              </w:rPr>
              <w:t>2</w:t>
            </w:r>
            <w:r>
              <w:rPr>
                <w:rFonts w:hint="eastAsia" w:ascii="Times New Roman" w:hAnsi="Times New Roman" w:cs="Times New Roman"/>
                <w:color w:val="auto"/>
                <w:sz w:val="24"/>
                <w:szCs w:val="24"/>
                <w:highlight w:val="none"/>
                <w:lang w:val="en-US" w:eastAsia="zh-CN"/>
              </w:rPr>
              <w:t>、图</w:t>
            </w:r>
            <w:r>
              <w:rPr>
                <w:rFonts w:hint="eastAsia" w:cs="Times New Roman"/>
                <w:color w:val="auto"/>
                <w:sz w:val="24"/>
                <w:szCs w:val="24"/>
                <w:highlight w:val="none"/>
                <w:lang w:val="en-US" w:eastAsia="zh-CN"/>
              </w:rPr>
              <w:t>3</w:t>
            </w:r>
            <w:r>
              <w:rPr>
                <w:rFonts w:hint="eastAsia" w:ascii="Times New Roman" w:hAnsi="Times New Roman" w:cs="Times New Roman"/>
                <w:color w:val="auto"/>
                <w:sz w:val="24"/>
                <w:szCs w:val="24"/>
                <w:highlight w:val="none"/>
                <w:lang w:val="en-US" w:eastAsia="zh-CN"/>
              </w:rPr>
              <w:t>-1~图</w:t>
            </w:r>
            <w:r>
              <w:rPr>
                <w:rFonts w:hint="eastAsia" w:cs="Times New Roman"/>
                <w:color w:val="auto"/>
                <w:sz w:val="24"/>
                <w:szCs w:val="24"/>
                <w:highlight w:val="none"/>
                <w:lang w:val="en-US" w:eastAsia="zh-CN"/>
              </w:rPr>
              <w:t>3</w:t>
            </w:r>
            <w:r>
              <w:rPr>
                <w:rFonts w:hint="eastAsia"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w:t>
            </w:r>
          </w:p>
          <w:p w14:paraId="59A47747">
            <w:pPr>
              <w:pStyle w:val="23"/>
              <w:numPr>
                <w:ilvl w:val="0"/>
                <w:numId w:val="5"/>
              </w:numPr>
              <w:tabs>
                <w:tab w:val="right" w:pos="5142"/>
              </w:tabs>
              <w:ind w:left="0" w:leftChars="0" w:firstLine="0" w:firstLineChars="0"/>
              <w:jc w:val="center"/>
              <w:rPr>
                <w:b/>
                <w:color w:val="auto"/>
                <w:sz w:val="24"/>
                <w:highlight w:val="none"/>
                <w:shd w:val="clear" w:color="auto" w:fill="FFFFFF"/>
              </w:rPr>
            </w:pPr>
            <w:r>
              <w:rPr>
                <w:rFonts w:hint="eastAsia"/>
                <w:b/>
                <w:color w:val="auto"/>
                <w:sz w:val="24"/>
                <w:highlight w:val="none"/>
                <w:shd w:val="clear" w:color="auto" w:fill="FFFFFF"/>
                <w:lang w:val="en-US" w:eastAsia="zh-CN"/>
              </w:rPr>
              <w:t xml:space="preserve"> </w:t>
            </w:r>
            <w:r>
              <w:rPr>
                <w:b/>
                <w:color w:val="auto"/>
                <w:sz w:val="24"/>
                <w:highlight w:val="none"/>
                <w:shd w:val="clear" w:color="auto" w:fill="FFFFFF"/>
              </w:rPr>
              <w:t xml:space="preserve"> 本</w:t>
            </w:r>
            <w:r>
              <w:rPr>
                <w:rFonts w:hint="eastAsia"/>
                <w:b/>
                <w:color w:val="auto"/>
                <w:sz w:val="24"/>
                <w:highlight w:val="none"/>
                <w:shd w:val="clear" w:color="auto" w:fill="FFFFFF"/>
              </w:rPr>
              <w:t>项目电磁</w:t>
            </w:r>
            <w:r>
              <w:rPr>
                <w:b/>
                <w:color w:val="auto"/>
                <w:sz w:val="24"/>
                <w:highlight w:val="none"/>
                <w:shd w:val="clear" w:color="auto" w:fill="FFFFFF"/>
              </w:rPr>
              <w:t>环境</w:t>
            </w:r>
            <w:r>
              <w:rPr>
                <w:rFonts w:hint="eastAsia"/>
                <w:b/>
                <w:color w:val="auto"/>
                <w:sz w:val="24"/>
                <w:highlight w:val="none"/>
                <w:shd w:val="clear" w:color="auto" w:fill="FFFFFF"/>
              </w:rPr>
              <w:t>敏感</w:t>
            </w:r>
            <w:r>
              <w:rPr>
                <w:b/>
                <w:color w:val="auto"/>
                <w:sz w:val="24"/>
                <w:highlight w:val="none"/>
                <w:shd w:val="clear" w:color="auto" w:fill="FFFFFF"/>
              </w:rPr>
              <w:t>目标一览表</w:t>
            </w:r>
          </w:p>
          <w:tbl>
            <w:tblPr>
              <w:tblStyle w:val="4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56"/>
              <w:gridCol w:w="844"/>
              <w:gridCol w:w="1128"/>
              <w:gridCol w:w="922"/>
              <w:gridCol w:w="912"/>
              <w:gridCol w:w="1288"/>
              <w:gridCol w:w="1231"/>
              <w:gridCol w:w="945"/>
              <w:gridCol w:w="987"/>
            </w:tblGrid>
            <w:tr w14:paraId="40434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262" w:type="pct"/>
                  <w:vAlign w:val="center"/>
                </w:tcPr>
                <w:p w14:paraId="5EA41D0C">
                  <w:pPr>
                    <w:autoSpaceDN w:val="0"/>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485" w:type="pct"/>
                  <w:vAlign w:val="center"/>
                </w:tcPr>
                <w:p w14:paraId="58FB3A70">
                  <w:pPr>
                    <w:autoSpaceDN w:val="0"/>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行政区域</w:t>
                  </w:r>
                </w:p>
              </w:tc>
              <w:tc>
                <w:tcPr>
                  <w:tcW w:w="647" w:type="pct"/>
                  <w:vAlign w:val="center"/>
                </w:tcPr>
                <w:p w14:paraId="38FDB5CD">
                  <w:pPr>
                    <w:autoSpaceDN w:val="0"/>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名称</w:t>
                  </w:r>
                </w:p>
              </w:tc>
              <w:tc>
                <w:tcPr>
                  <w:tcW w:w="529" w:type="pct"/>
                  <w:vAlign w:val="center"/>
                </w:tcPr>
                <w:p w14:paraId="78344E83">
                  <w:pPr>
                    <w:autoSpaceDN w:val="0"/>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功能</w:t>
                  </w:r>
                </w:p>
              </w:tc>
              <w:tc>
                <w:tcPr>
                  <w:tcW w:w="523" w:type="pct"/>
                  <w:vAlign w:val="center"/>
                </w:tcPr>
                <w:p w14:paraId="09B4FE04">
                  <w:pPr>
                    <w:autoSpaceDN w:val="0"/>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评价范围内户数</w:t>
                  </w:r>
                </w:p>
              </w:tc>
              <w:tc>
                <w:tcPr>
                  <w:tcW w:w="735" w:type="pct"/>
                  <w:vAlign w:val="center"/>
                </w:tcPr>
                <w:p w14:paraId="7F818DD5">
                  <w:pPr>
                    <w:autoSpaceDN w:val="0"/>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建筑物楼层及结构</w:t>
                  </w:r>
                </w:p>
              </w:tc>
              <w:tc>
                <w:tcPr>
                  <w:tcW w:w="706" w:type="pct"/>
                  <w:vAlign w:val="center"/>
                </w:tcPr>
                <w:p w14:paraId="16E87F54">
                  <w:pPr>
                    <w:autoSpaceDN w:val="0"/>
                    <w:spacing w:line="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与变电站/线路的最近位置关系</w:t>
                  </w:r>
                </w:p>
              </w:tc>
              <w:tc>
                <w:tcPr>
                  <w:tcW w:w="542" w:type="pct"/>
                  <w:shd w:val="clear" w:color="auto" w:fill="auto"/>
                  <w:vAlign w:val="center"/>
                </w:tcPr>
                <w:p w14:paraId="70697C33">
                  <w:pPr>
                    <w:autoSpaceDN w:val="0"/>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环境影响因子</w:t>
                  </w:r>
                  <w:r>
                    <w:rPr>
                      <w:rFonts w:hint="eastAsia" w:ascii="Times New Roman" w:hAnsi="Times New Roman" w:cs="Times New Roman"/>
                      <w:color w:val="auto"/>
                      <w:sz w:val="21"/>
                      <w:szCs w:val="21"/>
                      <w:highlight w:val="none"/>
                      <w:vertAlign w:val="superscript"/>
                      <w:lang w:val="en-US" w:eastAsia="zh-CN"/>
                    </w:rPr>
                    <w:t>①</w:t>
                  </w:r>
                </w:p>
              </w:tc>
              <w:tc>
                <w:tcPr>
                  <w:tcW w:w="566" w:type="pct"/>
                  <w:shd w:val="clear" w:color="auto" w:fill="auto"/>
                  <w:vAlign w:val="center"/>
                </w:tcPr>
                <w:p w14:paraId="19CEA3B2">
                  <w:pPr>
                    <w:autoSpaceDN w:val="0"/>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备注</w:t>
                  </w:r>
                </w:p>
              </w:tc>
            </w:tr>
            <w:tr w14:paraId="652EB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185" w:type="pct"/>
                  <w:gridSpan w:val="6"/>
                  <w:vAlign w:val="center"/>
                </w:tcPr>
                <w:p w14:paraId="0FE5F92F">
                  <w:pPr>
                    <w:pStyle w:val="251"/>
                    <w:jc w:val="left"/>
                    <w:rPr>
                      <w:rFonts w:hint="default" w:ascii="Times New Roman" w:hAnsi="Times New Roman" w:cs="Times New Roman"/>
                      <w:color w:val="auto"/>
                      <w:sz w:val="21"/>
                      <w:szCs w:val="21"/>
                      <w:highlight w:val="none"/>
                    </w:rPr>
                  </w:pPr>
                  <w:r>
                    <w:rPr>
                      <w:rFonts w:hint="eastAsia" w:ascii="Times New Roman" w:hAnsi="Times New Roman" w:cs="Times New Roman"/>
                      <w:b/>
                      <w:bCs/>
                      <w:color w:val="auto"/>
                      <w:sz w:val="21"/>
                      <w:szCs w:val="21"/>
                      <w:highlight w:val="none"/>
                      <w:lang w:val="en-US" w:eastAsia="zh-CN"/>
                    </w:rPr>
                    <w:t>一</w:t>
                  </w:r>
                  <w:r>
                    <w:rPr>
                      <w:rFonts w:hint="default" w:ascii="Times New Roman" w:hAnsi="Times New Roman" w:cs="Times New Roman"/>
                      <w:b/>
                      <w:bCs/>
                      <w:color w:val="auto"/>
                      <w:sz w:val="21"/>
                      <w:szCs w:val="21"/>
                      <w:highlight w:val="none"/>
                      <w:lang w:val="en-US" w:eastAsia="zh-CN"/>
                    </w:rPr>
                    <w:t>、白沙变T接茅洲～柳北110kV线路工程</w:t>
                  </w:r>
                </w:p>
              </w:tc>
              <w:tc>
                <w:tcPr>
                  <w:tcW w:w="1814" w:type="pct"/>
                  <w:gridSpan w:val="3"/>
                  <w:vAlign w:val="center"/>
                </w:tcPr>
                <w:p w14:paraId="574D0610">
                  <w:pPr>
                    <w:pStyle w:val="251"/>
                    <w:jc w:val="left"/>
                    <w:rPr>
                      <w:rFonts w:hint="eastAsia" w:ascii="Times New Roman" w:hAnsi="Times New Roman" w:cs="Times New Roman"/>
                      <w:b/>
                      <w:bCs/>
                      <w:color w:val="auto"/>
                      <w:sz w:val="21"/>
                      <w:szCs w:val="21"/>
                      <w:highlight w:val="none"/>
                      <w:lang w:val="en-US" w:eastAsia="zh-CN"/>
                    </w:rPr>
                  </w:pPr>
                </w:p>
              </w:tc>
            </w:tr>
            <w:tr w14:paraId="7231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trPr>
              <w:tc>
                <w:tcPr>
                  <w:tcW w:w="262" w:type="pct"/>
                  <w:vAlign w:val="center"/>
                </w:tcPr>
                <w:p w14:paraId="0CA93818">
                  <w:pPr>
                    <w:numPr>
                      <w:ilvl w:val="0"/>
                      <w:numId w:val="7"/>
                    </w:numPr>
                    <w:autoSpaceDN w:val="0"/>
                    <w:spacing w:line="0" w:lineRule="atLeast"/>
                    <w:ind w:left="0" w:leftChars="0" w:firstLine="0" w:firstLineChars="0"/>
                    <w:jc w:val="center"/>
                    <w:rPr>
                      <w:rFonts w:hint="default" w:ascii="Times New Roman" w:hAnsi="Times New Roman" w:eastAsia="宋体" w:cs="Times New Roman"/>
                      <w:color w:val="auto"/>
                      <w:sz w:val="21"/>
                      <w:szCs w:val="21"/>
                      <w:highlight w:val="none"/>
                      <w:lang w:val="en-US" w:eastAsia="zh-CN"/>
                    </w:rPr>
                  </w:pPr>
                </w:p>
              </w:tc>
              <w:tc>
                <w:tcPr>
                  <w:tcW w:w="485" w:type="pct"/>
                  <w:vMerge w:val="restart"/>
                  <w:shd w:val="clear" w:color="auto" w:fill="auto"/>
                  <w:vAlign w:val="center"/>
                </w:tcPr>
                <w:p w14:paraId="4589928E">
                  <w:pPr>
                    <w:pStyle w:val="251"/>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kern w:val="0"/>
                      <w:sz w:val="21"/>
                      <w:szCs w:val="21"/>
                      <w:highlight w:val="none"/>
                      <w:lang w:val="en-US" w:eastAsia="zh-CN" w:bidi="ar-SA"/>
                    </w:rPr>
                    <w:t>柳北区锦绣街道</w:t>
                  </w:r>
                </w:p>
              </w:tc>
              <w:tc>
                <w:tcPr>
                  <w:tcW w:w="647" w:type="pct"/>
                  <w:shd w:val="clear" w:color="auto" w:fill="auto"/>
                  <w:vAlign w:val="center"/>
                </w:tcPr>
                <w:p w14:paraId="0733D5A2">
                  <w:pPr>
                    <w:pStyle w:val="251"/>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柳州市防洪排涝工程管理处</w:t>
                  </w:r>
                </w:p>
              </w:tc>
              <w:tc>
                <w:tcPr>
                  <w:tcW w:w="529" w:type="pct"/>
                  <w:shd w:val="clear" w:color="auto" w:fill="auto"/>
                  <w:vAlign w:val="center"/>
                </w:tcPr>
                <w:p w14:paraId="1A7D19AC">
                  <w:pPr>
                    <w:autoSpaceDN w:val="0"/>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办公</w:t>
                  </w:r>
                </w:p>
              </w:tc>
              <w:tc>
                <w:tcPr>
                  <w:tcW w:w="523" w:type="pct"/>
                  <w:shd w:val="clear" w:color="auto" w:fill="auto"/>
                  <w:vAlign w:val="center"/>
                </w:tcPr>
                <w:p w14:paraId="7F606308">
                  <w:pPr>
                    <w:autoSpaceDN w:val="0"/>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w:t>
                  </w:r>
                  <w:r>
                    <w:rPr>
                      <w:rFonts w:hint="default" w:ascii="Times New Roman" w:hAnsi="Times New Roman" w:cs="Times New Roman"/>
                      <w:color w:val="auto"/>
                      <w:sz w:val="21"/>
                      <w:szCs w:val="21"/>
                      <w:highlight w:val="none"/>
                      <w:lang w:val="en-US" w:eastAsia="zh-CN"/>
                    </w:rPr>
                    <w:t>栋</w:t>
                  </w:r>
                </w:p>
              </w:tc>
              <w:tc>
                <w:tcPr>
                  <w:tcW w:w="735" w:type="pct"/>
                  <w:shd w:val="clear" w:color="auto" w:fill="auto"/>
                  <w:vAlign w:val="center"/>
                </w:tcPr>
                <w:p w14:paraId="5AE7BB8E">
                  <w:pPr>
                    <w:autoSpaceDN w:val="0"/>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3</w:t>
                  </w:r>
                  <w:r>
                    <w:rPr>
                      <w:rFonts w:hint="default" w:ascii="Times New Roman" w:hAnsi="Times New Roman" w:cs="Times New Roman"/>
                      <w:color w:val="auto"/>
                      <w:sz w:val="21"/>
                      <w:szCs w:val="21"/>
                      <w:highlight w:val="none"/>
                      <w:lang w:val="en-US" w:eastAsia="zh-CN"/>
                    </w:rPr>
                    <w:t>层平顶，高</w:t>
                  </w:r>
                  <w:r>
                    <w:rPr>
                      <w:rFonts w:hint="eastAsia" w:cs="Times New Roman"/>
                      <w:color w:val="auto"/>
                      <w:sz w:val="21"/>
                      <w:szCs w:val="21"/>
                      <w:highlight w:val="none"/>
                      <w:lang w:val="en-US" w:eastAsia="zh-CN"/>
                    </w:rPr>
                    <w:t>9</w:t>
                  </w:r>
                  <w:r>
                    <w:rPr>
                      <w:rFonts w:hint="default" w:ascii="Times New Roman" w:hAnsi="Times New Roman" w:cs="Times New Roman"/>
                      <w:color w:val="auto"/>
                      <w:sz w:val="21"/>
                      <w:szCs w:val="21"/>
                      <w:highlight w:val="none"/>
                      <w:lang w:val="en-US" w:eastAsia="zh-CN"/>
                    </w:rPr>
                    <w:t>m</w:t>
                  </w:r>
                </w:p>
              </w:tc>
              <w:tc>
                <w:tcPr>
                  <w:tcW w:w="706" w:type="pct"/>
                  <w:shd w:val="clear" w:color="auto" w:fill="auto"/>
                  <w:vAlign w:val="center"/>
                </w:tcPr>
                <w:p w14:paraId="6B53CDA8">
                  <w:pPr>
                    <w:autoSpaceDN w:val="0"/>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线路</w:t>
                  </w:r>
                  <w:r>
                    <w:rPr>
                      <w:rFonts w:hint="eastAsia" w:cs="Times New Roman"/>
                      <w:color w:val="auto"/>
                      <w:sz w:val="21"/>
                      <w:szCs w:val="21"/>
                      <w:highlight w:val="none"/>
                      <w:lang w:val="en-US" w:eastAsia="zh-CN"/>
                    </w:rPr>
                    <w:t>西侧5</w:t>
                  </w:r>
                  <w:r>
                    <w:rPr>
                      <w:rFonts w:hint="default" w:ascii="Times New Roman" w:hAnsi="Times New Roman" w:cs="Times New Roman"/>
                      <w:color w:val="auto"/>
                      <w:sz w:val="21"/>
                      <w:szCs w:val="21"/>
                      <w:highlight w:val="none"/>
                      <w:lang w:val="en-US" w:eastAsia="zh-CN"/>
                    </w:rPr>
                    <w:t>m</w:t>
                  </w:r>
                </w:p>
              </w:tc>
              <w:tc>
                <w:tcPr>
                  <w:tcW w:w="542" w:type="pct"/>
                  <w:shd w:val="clear" w:color="auto" w:fill="auto"/>
                  <w:vAlign w:val="center"/>
                </w:tcPr>
                <w:p w14:paraId="744E8A62">
                  <w:pPr>
                    <w:autoSpaceDN w:val="0"/>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E、B</w:t>
                  </w:r>
                </w:p>
              </w:tc>
              <w:tc>
                <w:tcPr>
                  <w:tcW w:w="566" w:type="pct"/>
                  <w:shd w:val="clear" w:color="auto" w:fill="auto"/>
                  <w:vAlign w:val="center"/>
                </w:tcPr>
                <w:p w14:paraId="1D2B97E0">
                  <w:pPr>
                    <w:autoSpaceDN w:val="0"/>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见</w:t>
                  </w:r>
                  <w:r>
                    <w:rPr>
                      <w:rFonts w:hint="default" w:ascii="Times New Roman" w:hAnsi="Times New Roman" w:cs="Times New Roman"/>
                      <w:color w:val="auto"/>
                      <w:sz w:val="21"/>
                      <w:szCs w:val="21"/>
                      <w:highlight w:val="none"/>
                      <w:lang w:val="en-US" w:eastAsia="zh-CN"/>
                    </w:rPr>
                    <w:t>附</w:t>
                  </w:r>
                  <w:r>
                    <w:rPr>
                      <w:rFonts w:hint="default" w:ascii="Times New Roman" w:hAnsi="Times New Roman" w:cs="Times New Roman"/>
                      <w:color w:val="auto"/>
                      <w:sz w:val="21"/>
                      <w:szCs w:val="21"/>
                      <w:highlight w:val="none"/>
                    </w:rPr>
                    <w:t>图</w:t>
                  </w:r>
                  <w:r>
                    <w:rPr>
                      <w:rFonts w:hint="eastAsia" w:cs="Times New Roman"/>
                      <w:color w:val="auto"/>
                      <w:sz w:val="21"/>
                      <w:szCs w:val="21"/>
                      <w:highlight w:val="none"/>
                      <w:lang w:val="en-US" w:eastAsia="zh-CN"/>
                    </w:rPr>
                    <w:t>3</w:t>
                  </w: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val="en-US" w:eastAsia="zh-CN"/>
                    </w:rPr>
                    <w:t>1</w:t>
                  </w:r>
                </w:p>
              </w:tc>
            </w:tr>
            <w:tr w14:paraId="0B83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262" w:type="pct"/>
                  <w:vAlign w:val="center"/>
                </w:tcPr>
                <w:p w14:paraId="491DC124">
                  <w:pPr>
                    <w:numPr>
                      <w:ilvl w:val="0"/>
                      <w:numId w:val="7"/>
                    </w:numPr>
                    <w:autoSpaceDN w:val="0"/>
                    <w:spacing w:line="0" w:lineRule="atLeast"/>
                    <w:ind w:left="0" w:leftChars="0" w:firstLine="0" w:firstLineChars="0"/>
                    <w:jc w:val="center"/>
                    <w:rPr>
                      <w:rFonts w:hint="default" w:ascii="Times New Roman" w:hAnsi="Times New Roman" w:eastAsia="宋体" w:cs="Times New Roman"/>
                      <w:color w:val="auto"/>
                      <w:sz w:val="21"/>
                      <w:szCs w:val="21"/>
                      <w:highlight w:val="none"/>
                      <w:lang w:val="en-US" w:eastAsia="zh-CN"/>
                    </w:rPr>
                  </w:pPr>
                </w:p>
              </w:tc>
              <w:tc>
                <w:tcPr>
                  <w:tcW w:w="485" w:type="pct"/>
                  <w:vMerge w:val="continue"/>
                  <w:shd w:val="clear" w:color="auto" w:fill="auto"/>
                  <w:vAlign w:val="center"/>
                </w:tcPr>
                <w:p w14:paraId="60242E59">
                  <w:pPr>
                    <w:pStyle w:val="251"/>
                    <w:rPr>
                      <w:rFonts w:hint="default" w:ascii="Times New Roman" w:hAnsi="Times New Roman" w:cs="Times New Roman"/>
                      <w:color w:val="auto"/>
                      <w:sz w:val="21"/>
                      <w:szCs w:val="21"/>
                      <w:highlight w:val="none"/>
                      <w:lang w:val="en-US" w:eastAsia="zh-CN"/>
                    </w:rPr>
                  </w:pPr>
                </w:p>
              </w:tc>
              <w:tc>
                <w:tcPr>
                  <w:tcW w:w="647" w:type="pct"/>
                  <w:shd w:val="clear" w:color="auto" w:fill="auto"/>
                  <w:vAlign w:val="center"/>
                </w:tcPr>
                <w:p w14:paraId="081C7B42">
                  <w:pPr>
                    <w:pStyle w:val="251"/>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化纤厂泵站</w:t>
                  </w:r>
                </w:p>
              </w:tc>
              <w:tc>
                <w:tcPr>
                  <w:tcW w:w="529" w:type="pct"/>
                  <w:shd w:val="clear" w:color="auto" w:fill="auto"/>
                  <w:vAlign w:val="center"/>
                </w:tcPr>
                <w:p w14:paraId="6AC9649F">
                  <w:pPr>
                    <w:autoSpaceDN w:val="0"/>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工作</w:t>
                  </w:r>
                </w:p>
              </w:tc>
              <w:tc>
                <w:tcPr>
                  <w:tcW w:w="523" w:type="pct"/>
                  <w:shd w:val="clear" w:color="auto" w:fill="auto"/>
                  <w:vAlign w:val="center"/>
                </w:tcPr>
                <w:p w14:paraId="73124A59">
                  <w:pPr>
                    <w:autoSpaceDN w:val="0"/>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w:t>
                  </w:r>
                  <w:r>
                    <w:rPr>
                      <w:rFonts w:hint="default" w:ascii="Times New Roman" w:hAnsi="Times New Roman" w:cs="Times New Roman"/>
                      <w:color w:val="auto"/>
                      <w:sz w:val="21"/>
                      <w:szCs w:val="21"/>
                      <w:highlight w:val="none"/>
                      <w:lang w:val="en-US" w:eastAsia="zh-CN"/>
                    </w:rPr>
                    <w:t>栋</w:t>
                  </w:r>
                </w:p>
              </w:tc>
              <w:tc>
                <w:tcPr>
                  <w:tcW w:w="735" w:type="pct"/>
                  <w:shd w:val="clear" w:color="auto" w:fill="auto"/>
                  <w:vAlign w:val="center"/>
                </w:tcPr>
                <w:p w14:paraId="5B7521B1">
                  <w:pPr>
                    <w:autoSpaceDN w:val="0"/>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3</w:t>
                  </w:r>
                  <w:r>
                    <w:rPr>
                      <w:rFonts w:hint="default" w:ascii="Times New Roman" w:hAnsi="Times New Roman" w:cs="Times New Roman"/>
                      <w:color w:val="auto"/>
                      <w:sz w:val="21"/>
                      <w:szCs w:val="21"/>
                      <w:highlight w:val="none"/>
                      <w:lang w:val="en-US" w:eastAsia="zh-CN"/>
                    </w:rPr>
                    <w:t>层平顶，高</w:t>
                  </w:r>
                  <w:r>
                    <w:rPr>
                      <w:rFonts w:hint="eastAsia" w:cs="Times New Roman"/>
                      <w:color w:val="auto"/>
                      <w:sz w:val="21"/>
                      <w:szCs w:val="21"/>
                      <w:highlight w:val="none"/>
                      <w:lang w:val="en-US" w:eastAsia="zh-CN"/>
                    </w:rPr>
                    <w:t>9</w:t>
                  </w:r>
                  <w:r>
                    <w:rPr>
                      <w:rFonts w:hint="default" w:ascii="Times New Roman" w:hAnsi="Times New Roman" w:cs="Times New Roman"/>
                      <w:color w:val="auto"/>
                      <w:sz w:val="21"/>
                      <w:szCs w:val="21"/>
                      <w:highlight w:val="none"/>
                      <w:lang w:val="en-US" w:eastAsia="zh-CN"/>
                    </w:rPr>
                    <w:t>m</w:t>
                  </w:r>
                </w:p>
              </w:tc>
              <w:tc>
                <w:tcPr>
                  <w:tcW w:w="706" w:type="pct"/>
                  <w:shd w:val="clear" w:color="auto" w:fill="auto"/>
                  <w:vAlign w:val="center"/>
                </w:tcPr>
                <w:p w14:paraId="5AD112F6">
                  <w:pPr>
                    <w:autoSpaceDN w:val="0"/>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线路</w:t>
                  </w:r>
                  <w:r>
                    <w:rPr>
                      <w:rFonts w:hint="eastAsia" w:cs="Times New Roman"/>
                      <w:color w:val="auto"/>
                      <w:sz w:val="21"/>
                      <w:szCs w:val="21"/>
                      <w:highlight w:val="none"/>
                      <w:lang w:val="en-US" w:eastAsia="zh-CN"/>
                    </w:rPr>
                    <w:t>西侧3</w:t>
                  </w:r>
                  <w:r>
                    <w:rPr>
                      <w:rFonts w:hint="default" w:ascii="Times New Roman" w:hAnsi="Times New Roman" w:cs="Times New Roman"/>
                      <w:color w:val="auto"/>
                      <w:sz w:val="21"/>
                      <w:szCs w:val="21"/>
                      <w:highlight w:val="none"/>
                      <w:lang w:val="en-US" w:eastAsia="zh-CN"/>
                    </w:rPr>
                    <w:t>m</w:t>
                  </w:r>
                </w:p>
              </w:tc>
              <w:tc>
                <w:tcPr>
                  <w:tcW w:w="542" w:type="pct"/>
                  <w:shd w:val="clear" w:color="auto" w:fill="auto"/>
                  <w:vAlign w:val="center"/>
                </w:tcPr>
                <w:p w14:paraId="15781837">
                  <w:pPr>
                    <w:autoSpaceDN w:val="0"/>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E、B</w:t>
                  </w:r>
                </w:p>
              </w:tc>
              <w:tc>
                <w:tcPr>
                  <w:tcW w:w="566" w:type="pct"/>
                  <w:shd w:val="clear" w:color="auto" w:fill="auto"/>
                  <w:vAlign w:val="center"/>
                </w:tcPr>
                <w:p w14:paraId="4B344002">
                  <w:pPr>
                    <w:autoSpaceDN w:val="0"/>
                    <w:spacing w:line="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见</w:t>
                  </w:r>
                  <w:r>
                    <w:rPr>
                      <w:rFonts w:hint="default" w:ascii="Times New Roman" w:hAnsi="Times New Roman" w:cs="Times New Roman"/>
                      <w:color w:val="auto"/>
                      <w:sz w:val="21"/>
                      <w:szCs w:val="21"/>
                      <w:highlight w:val="none"/>
                      <w:lang w:val="en-US" w:eastAsia="zh-CN"/>
                    </w:rPr>
                    <w:t>附</w:t>
                  </w:r>
                  <w:r>
                    <w:rPr>
                      <w:rFonts w:hint="default" w:ascii="Times New Roman" w:hAnsi="Times New Roman" w:cs="Times New Roman"/>
                      <w:color w:val="auto"/>
                      <w:sz w:val="21"/>
                      <w:szCs w:val="21"/>
                      <w:highlight w:val="none"/>
                    </w:rPr>
                    <w:t>图</w:t>
                  </w:r>
                  <w:r>
                    <w:rPr>
                      <w:rFonts w:hint="eastAsia" w:cs="Times New Roman"/>
                      <w:color w:val="auto"/>
                      <w:sz w:val="21"/>
                      <w:szCs w:val="21"/>
                      <w:highlight w:val="none"/>
                      <w:lang w:val="en-US" w:eastAsia="zh-CN"/>
                    </w:rPr>
                    <w:t>3</w:t>
                  </w: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val="en-US" w:eastAsia="zh-CN"/>
                    </w:rPr>
                    <w:t>2</w:t>
                  </w:r>
                </w:p>
              </w:tc>
            </w:tr>
            <w:tr w14:paraId="1B89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185" w:type="pct"/>
                  <w:gridSpan w:val="6"/>
                  <w:vAlign w:val="center"/>
                </w:tcPr>
                <w:p w14:paraId="266CD6B0">
                  <w:pPr>
                    <w:pStyle w:val="251"/>
                    <w:jc w:val="left"/>
                    <w:rPr>
                      <w:rFonts w:hint="default" w:ascii="Times New Roman" w:hAnsi="Times New Roman" w:cs="Times New Roman"/>
                      <w:color w:val="auto"/>
                      <w:sz w:val="21"/>
                      <w:szCs w:val="21"/>
                      <w:highlight w:val="none"/>
                    </w:rPr>
                  </w:pPr>
                  <w:r>
                    <w:rPr>
                      <w:rFonts w:hint="eastAsia" w:ascii="Times New Roman" w:hAnsi="Times New Roman" w:cs="Times New Roman"/>
                      <w:b/>
                      <w:bCs/>
                      <w:color w:val="auto"/>
                      <w:sz w:val="21"/>
                      <w:szCs w:val="21"/>
                      <w:highlight w:val="none"/>
                      <w:lang w:val="en-US" w:eastAsia="zh-CN"/>
                    </w:rPr>
                    <w:t>二</w:t>
                  </w:r>
                  <w:r>
                    <w:rPr>
                      <w:rFonts w:hint="default" w:ascii="Times New Roman" w:hAnsi="Times New Roman" w:cs="Times New Roman"/>
                      <w:b/>
                      <w:bCs/>
                      <w:color w:val="auto"/>
                      <w:sz w:val="21"/>
                      <w:szCs w:val="21"/>
                      <w:highlight w:val="none"/>
                      <w:lang w:val="en-US" w:eastAsia="zh-CN"/>
                    </w:rPr>
                    <w:t>、调整黄村变接线方式</w:t>
                  </w:r>
                </w:p>
              </w:tc>
              <w:tc>
                <w:tcPr>
                  <w:tcW w:w="1814" w:type="pct"/>
                  <w:gridSpan w:val="3"/>
                  <w:vAlign w:val="center"/>
                </w:tcPr>
                <w:p w14:paraId="53AC1715">
                  <w:pPr>
                    <w:pStyle w:val="251"/>
                    <w:jc w:val="left"/>
                    <w:rPr>
                      <w:rFonts w:hint="eastAsia" w:ascii="Times New Roman" w:hAnsi="Times New Roman" w:cs="Times New Roman"/>
                      <w:b/>
                      <w:bCs/>
                      <w:color w:val="auto"/>
                      <w:sz w:val="21"/>
                      <w:szCs w:val="21"/>
                      <w:highlight w:val="none"/>
                      <w:lang w:val="en-US" w:eastAsia="zh-CN"/>
                    </w:rPr>
                  </w:pPr>
                </w:p>
              </w:tc>
            </w:tr>
            <w:tr w14:paraId="1AEA4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185" w:type="pct"/>
                  <w:gridSpan w:val="6"/>
                  <w:vAlign w:val="center"/>
                </w:tcPr>
                <w:p w14:paraId="337353B2">
                  <w:pPr>
                    <w:autoSpaceDN w:val="0"/>
                    <w:spacing w:line="0" w:lineRule="atLeast"/>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电磁评价范围内无电磁环境敏感目标</w:t>
                  </w:r>
                </w:p>
              </w:tc>
              <w:tc>
                <w:tcPr>
                  <w:tcW w:w="1814" w:type="pct"/>
                  <w:gridSpan w:val="3"/>
                  <w:vAlign w:val="center"/>
                </w:tcPr>
                <w:p w14:paraId="5C6491FB">
                  <w:pPr>
                    <w:autoSpaceDN w:val="0"/>
                    <w:spacing w:line="0" w:lineRule="atLeast"/>
                    <w:jc w:val="center"/>
                    <w:rPr>
                      <w:rFonts w:hint="default" w:ascii="Times New Roman" w:hAnsi="Times New Roman" w:cs="Times New Roman"/>
                      <w:color w:val="auto"/>
                      <w:sz w:val="21"/>
                      <w:szCs w:val="21"/>
                      <w:highlight w:val="none"/>
                      <w:lang w:val="en-US" w:eastAsia="zh-CN"/>
                    </w:rPr>
                  </w:pPr>
                </w:p>
              </w:tc>
            </w:tr>
          </w:tbl>
          <w:p w14:paraId="23B7DB4E">
            <w:pPr>
              <w:adjustRightInd w:val="0"/>
              <w:snapToGrid w:val="0"/>
              <w:spacing w:line="240" w:lineRule="atLeast"/>
              <w:rPr>
                <w:rFonts w:hint="eastAsia"/>
                <w:color w:val="auto"/>
                <w:szCs w:val="21"/>
                <w:highlight w:val="none"/>
              </w:rPr>
            </w:pPr>
            <w:r>
              <w:rPr>
                <w:rFonts w:hint="eastAsia"/>
                <w:color w:val="auto"/>
                <w:szCs w:val="21"/>
                <w:highlight w:val="none"/>
              </w:rPr>
              <w:t>备注：</w:t>
            </w:r>
            <w:r>
              <w:rPr>
                <w:rFonts w:hint="eastAsia"/>
                <w:color w:val="auto"/>
                <w:szCs w:val="21"/>
                <w:highlight w:val="none"/>
                <w:lang w:val="en-US" w:eastAsia="zh-CN"/>
              </w:rPr>
              <w:t>①</w:t>
            </w:r>
            <w:r>
              <w:rPr>
                <w:color w:val="auto"/>
                <w:szCs w:val="21"/>
                <w:highlight w:val="none"/>
              </w:rPr>
              <w:t>影响因子释义：E－工频电场，B—工频磁场</w:t>
            </w:r>
            <w:r>
              <w:rPr>
                <w:rFonts w:hint="eastAsia"/>
                <w:color w:val="auto"/>
                <w:szCs w:val="21"/>
                <w:highlight w:val="none"/>
              </w:rPr>
              <w:t>。</w:t>
            </w:r>
          </w:p>
          <w:p w14:paraId="7915B89C">
            <w:pPr>
              <w:adjustRightInd w:val="0"/>
              <w:snapToGrid w:val="0"/>
              <w:spacing w:line="360" w:lineRule="auto"/>
              <w:rPr>
                <w:b/>
                <w:bCs/>
                <w:color w:val="auto"/>
                <w:sz w:val="24"/>
                <w:highlight w:val="none"/>
                <w:shd w:val="clear" w:color="auto" w:fill="FFFFFF"/>
              </w:rPr>
            </w:pPr>
            <w:r>
              <w:rPr>
                <w:rFonts w:hint="eastAsia"/>
                <w:b/>
                <w:bCs/>
                <w:color w:val="auto"/>
                <w:sz w:val="24"/>
                <w:highlight w:val="none"/>
                <w:shd w:val="clear" w:color="auto" w:fill="FFFFFF"/>
                <w:lang w:val="en-US" w:eastAsia="zh-CN"/>
              </w:rPr>
              <w:t>3</w:t>
            </w:r>
            <w:r>
              <w:rPr>
                <w:b/>
                <w:bCs/>
                <w:color w:val="auto"/>
                <w:sz w:val="24"/>
                <w:highlight w:val="none"/>
                <w:shd w:val="clear" w:color="auto" w:fill="FFFFFF"/>
              </w:rPr>
              <w:t>.4</w:t>
            </w:r>
            <w:r>
              <w:rPr>
                <w:rFonts w:hint="eastAsia"/>
                <w:b/>
                <w:bCs/>
                <w:color w:val="auto"/>
                <w:sz w:val="24"/>
                <w:highlight w:val="none"/>
                <w:shd w:val="clear" w:color="auto" w:fill="FFFFFF"/>
              </w:rPr>
              <w:t>声</w:t>
            </w:r>
            <w:r>
              <w:rPr>
                <w:b/>
                <w:bCs/>
                <w:color w:val="auto"/>
                <w:sz w:val="24"/>
                <w:highlight w:val="none"/>
                <w:shd w:val="clear" w:color="auto" w:fill="FFFFFF"/>
              </w:rPr>
              <w:t>环境</w:t>
            </w:r>
            <w:r>
              <w:rPr>
                <w:rFonts w:hint="eastAsia"/>
                <w:b/>
                <w:color w:val="auto"/>
                <w:sz w:val="24"/>
                <w:highlight w:val="none"/>
                <w:shd w:val="clear" w:color="auto" w:fill="FFFFFF"/>
              </w:rPr>
              <w:t>敏感</w:t>
            </w:r>
            <w:r>
              <w:rPr>
                <w:b/>
                <w:bCs/>
                <w:color w:val="auto"/>
                <w:sz w:val="24"/>
                <w:highlight w:val="none"/>
                <w:shd w:val="clear" w:color="auto" w:fill="FFFFFF"/>
              </w:rPr>
              <w:t>目标</w:t>
            </w:r>
          </w:p>
          <w:p w14:paraId="381032EA">
            <w:pPr>
              <w:pStyle w:val="120"/>
              <w:ind w:firstLine="480"/>
              <w:rPr>
                <w:rFonts w:hint="default" w:eastAsia="宋体"/>
                <w:color w:val="auto"/>
                <w:szCs w:val="21"/>
                <w:highlight w:val="none"/>
                <w:lang w:val="en-US" w:eastAsia="zh-CN"/>
              </w:rPr>
            </w:pPr>
            <w:r>
              <w:rPr>
                <w:rFonts w:hint="default" w:ascii="Times New Roman" w:hAnsi="Times New Roman" w:cs="Times New Roman"/>
                <w:color w:val="auto"/>
                <w:sz w:val="24"/>
                <w:highlight w:val="none"/>
              </w:rPr>
              <w:t>根据现</w:t>
            </w:r>
            <w:r>
              <w:rPr>
                <w:rFonts w:hint="default" w:ascii="Times New Roman" w:hAnsi="Times New Roman" w:cs="Times New Roman"/>
                <w:color w:val="auto"/>
                <w:sz w:val="24"/>
                <w:szCs w:val="24"/>
                <w:highlight w:val="none"/>
              </w:rPr>
              <w:t>场踏勘，</w:t>
            </w:r>
            <w:r>
              <w:rPr>
                <w:rFonts w:hint="eastAsia" w:ascii="Times New Roman" w:hAnsi="Times New Roman" w:cs="Times New Roman"/>
                <w:color w:val="auto"/>
                <w:sz w:val="24"/>
                <w:szCs w:val="24"/>
                <w:highlight w:val="none"/>
                <w:lang w:val="en-US" w:eastAsia="zh-CN"/>
              </w:rPr>
              <w:t>本项目架空线路声环境</w:t>
            </w:r>
            <w:r>
              <w:rPr>
                <w:rFonts w:hint="default" w:ascii="Times New Roman" w:hAnsi="Times New Roman" w:cs="Times New Roman"/>
                <w:color w:val="auto"/>
                <w:sz w:val="24"/>
                <w:szCs w:val="24"/>
                <w:highlight w:val="none"/>
              </w:rPr>
              <w:t>评价范围内</w:t>
            </w:r>
            <w:r>
              <w:rPr>
                <w:rFonts w:hint="eastAsia" w:ascii="Times New Roman" w:hAnsi="Times New Roman" w:cs="Times New Roman"/>
                <w:color w:val="auto"/>
                <w:sz w:val="24"/>
                <w:szCs w:val="24"/>
                <w:highlight w:val="none"/>
                <w:lang w:val="en-US" w:eastAsia="zh-CN"/>
              </w:rPr>
              <w:t>无声环境敏感目标。</w:t>
            </w:r>
          </w:p>
        </w:tc>
      </w:tr>
      <w:tr w14:paraId="37EE4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 w:type="pct"/>
            <w:shd w:val="clear" w:color="auto" w:fill="auto"/>
            <w:vAlign w:val="center"/>
          </w:tcPr>
          <w:p w14:paraId="132E734E">
            <w:pPr>
              <w:pStyle w:val="39"/>
              <w:jc w:val="center"/>
              <w:outlineLvl w:val="0"/>
              <w:rPr>
                <w:color w:val="auto"/>
                <w:szCs w:val="21"/>
                <w:highlight w:val="none"/>
              </w:rPr>
            </w:pPr>
            <w:bookmarkStart w:id="24" w:name="_Toc10952"/>
            <w:r>
              <w:rPr>
                <w:color w:val="auto"/>
                <w:highlight w:val="none"/>
              </w:rPr>
              <w:t>评价标准</w:t>
            </w:r>
            <w:bookmarkEnd w:id="24"/>
          </w:p>
        </w:tc>
        <w:tc>
          <w:tcPr>
            <w:tcW w:w="4791" w:type="pct"/>
          </w:tcPr>
          <w:p w14:paraId="1D6389D1">
            <w:pPr>
              <w:tabs>
                <w:tab w:val="left" w:pos="0"/>
              </w:tabs>
              <w:snapToGrid w:val="0"/>
              <w:spacing w:before="20" w:after="20" w:line="360" w:lineRule="auto"/>
              <w:rPr>
                <w:b/>
                <w:color w:val="auto"/>
                <w:sz w:val="24"/>
                <w:highlight w:val="none"/>
              </w:rPr>
            </w:pPr>
            <w:r>
              <w:rPr>
                <w:rFonts w:hint="eastAsia"/>
                <w:b/>
                <w:color w:val="auto"/>
                <w:sz w:val="24"/>
                <w:highlight w:val="none"/>
              </w:rPr>
              <w:t>1.</w:t>
            </w:r>
            <w:r>
              <w:rPr>
                <w:b/>
                <w:color w:val="auto"/>
                <w:sz w:val="24"/>
                <w:highlight w:val="none"/>
              </w:rPr>
              <w:t>环境质量标准</w:t>
            </w:r>
          </w:p>
          <w:p w14:paraId="6711E6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kern w:val="0"/>
                <w:sz w:val="24"/>
                <w:highlight w:val="none"/>
              </w:rPr>
            </w:pPr>
            <w:r>
              <w:rPr>
                <w:color w:val="auto"/>
                <w:kern w:val="0"/>
                <w:sz w:val="24"/>
                <w:highlight w:val="none"/>
              </w:rPr>
              <w:t>本项目执行国家标准《电磁环境控制限值》（GB</w:t>
            </w:r>
            <w:r>
              <w:rPr>
                <w:rFonts w:hint="eastAsia"/>
                <w:color w:val="auto"/>
                <w:kern w:val="0"/>
                <w:sz w:val="24"/>
                <w:highlight w:val="none"/>
                <w:lang w:val="en-US" w:eastAsia="zh-CN"/>
              </w:rPr>
              <w:t xml:space="preserve"> </w:t>
            </w:r>
            <w:r>
              <w:rPr>
                <w:color w:val="auto"/>
                <w:kern w:val="0"/>
                <w:sz w:val="24"/>
                <w:highlight w:val="none"/>
              </w:rPr>
              <w:t>8702-2014）中公众曝露限值标准，详见表</w:t>
            </w:r>
            <w:r>
              <w:rPr>
                <w:rFonts w:hint="eastAsia"/>
                <w:color w:val="auto"/>
                <w:kern w:val="0"/>
                <w:sz w:val="24"/>
                <w:highlight w:val="none"/>
              </w:rPr>
              <w:t>3</w:t>
            </w:r>
            <w:r>
              <w:rPr>
                <w:color w:val="auto"/>
                <w:kern w:val="0"/>
                <w:sz w:val="24"/>
                <w:highlight w:val="none"/>
              </w:rPr>
              <w:t>-</w:t>
            </w:r>
            <w:r>
              <w:rPr>
                <w:rFonts w:hint="eastAsia"/>
                <w:color w:val="auto"/>
                <w:kern w:val="0"/>
                <w:sz w:val="24"/>
                <w:highlight w:val="none"/>
                <w:lang w:val="en-US" w:eastAsia="zh-CN"/>
              </w:rPr>
              <w:t>3</w:t>
            </w:r>
            <w:r>
              <w:rPr>
                <w:color w:val="auto"/>
                <w:kern w:val="0"/>
                <w:sz w:val="24"/>
                <w:highlight w:val="none"/>
              </w:rPr>
              <w:t>。</w:t>
            </w:r>
          </w:p>
          <w:p w14:paraId="44D1CCE0">
            <w:pPr>
              <w:pStyle w:val="23"/>
              <w:keepNext w:val="0"/>
              <w:keepLines w:val="0"/>
              <w:pageBreakBefore w:val="0"/>
              <w:widowControl w:val="0"/>
              <w:numPr>
                <w:ilvl w:val="0"/>
                <w:numId w:val="5"/>
              </w:numPr>
              <w:tabs>
                <w:tab w:val="right" w:pos="5142"/>
              </w:tabs>
              <w:kinsoku/>
              <w:wordWrap/>
              <w:overflowPunct/>
              <w:topLinePunct w:val="0"/>
              <w:autoSpaceDE/>
              <w:autoSpaceDN/>
              <w:bidi w:val="0"/>
              <w:adjustRightInd/>
              <w:snapToGrid/>
              <w:ind w:left="0" w:leftChars="0" w:firstLine="0" w:firstLineChars="0"/>
              <w:jc w:val="center"/>
              <w:textAlignment w:val="auto"/>
              <w:rPr>
                <w:b/>
                <w:color w:val="auto"/>
                <w:sz w:val="24"/>
                <w:highlight w:val="none"/>
              </w:rPr>
            </w:pPr>
            <w:r>
              <w:rPr>
                <w:b/>
                <w:color w:val="auto"/>
                <w:sz w:val="24"/>
                <w:highlight w:val="none"/>
              </w:rPr>
              <w:t xml:space="preserve"> 项目执行的电磁环境标准明细表</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895"/>
              <w:gridCol w:w="1134"/>
              <w:gridCol w:w="4216"/>
              <w:gridCol w:w="2473"/>
            </w:tblGrid>
            <w:tr w14:paraId="266C1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2" w:hRule="atLeast"/>
                <w:tblHeader/>
                <w:jc w:val="center"/>
              </w:trPr>
              <w:tc>
                <w:tcPr>
                  <w:tcW w:w="513" w:type="pct"/>
                  <w:shd w:val="clear" w:color="auto" w:fill="auto"/>
                  <w:tcMar>
                    <w:left w:w="0" w:type="dxa"/>
                    <w:right w:w="0" w:type="dxa"/>
                  </w:tcMar>
                  <w:vAlign w:val="center"/>
                </w:tcPr>
                <w:p w14:paraId="71052278">
                  <w:pPr>
                    <w:pStyle w:val="117"/>
                    <w:spacing w:line="0" w:lineRule="atLeast"/>
                    <w:rPr>
                      <w:rFonts w:ascii="Times New Roman" w:hAnsi="Times New Roman" w:cs="Times New Roman"/>
                      <w:b/>
                      <w:bCs/>
                      <w:color w:val="auto"/>
                      <w:highlight w:val="none"/>
                    </w:rPr>
                  </w:pPr>
                  <w:r>
                    <w:rPr>
                      <w:rFonts w:ascii="Times New Roman" w:hAnsi="Times New Roman" w:cs="Times New Roman"/>
                      <w:b/>
                      <w:bCs/>
                      <w:color w:val="auto"/>
                      <w:highlight w:val="none"/>
                    </w:rPr>
                    <w:t>评价项目</w:t>
                  </w:r>
                </w:p>
              </w:tc>
              <w:tc>
                <w:tcPr>
                  <w:tcW w:w="650" w:type="pct"/>
                  <w:shd w:val="clear" w:color="auto" w:fill="auto"/>
                  <w:tcMar>
                    <w:left w:w="0" w:type="dxa"/>
                    <w:right w:w="0" w:type="dxa"/>
                  </w:tcMar>
                  <w:vAlign w:val="center"/>
                </w:tcPr>
                <w:p w14:paraId="0EAEDDE6">
                  <w:pPr>
                    <w:pStyle w:val="117"/>
                    <w:spacing w:line="0" w:lineRule="atLeast"/>
                    <w:rPr>
                      <w:rFonts w:ascii="Times New Roman" w:hAnsi="Times New Roman" w:cs="Times New Roman"/>
                      <w:b/>
                      <w:bCs/>
                      <w:color w:val="auto"/>
                      <w:highlight w:val="none"/>
                    </w:rPr>
                  </w:pPr>
                  <w:r>
                    <w:rPr>
                      <w:rFonts w:ascii="Times New Roman" w:hAnsi="Times New Roman" w:cs="Times New Roman"/>
                      <w:b/>
                      <w:bCs/>
                      <w:color w:val="auto"/>
                      <w:highlight w:val="none"/>
                    </w:rPr>
                    <w:t>评价因子</w:t>
                  </w:r>
                </w:p>
              </w:tc>
              <w:tc>
                <w:tcPr>
                  <w:tcW w:w="2417" w:type="pct"/>
                  <w:shd w:val="clear" w:color="auto" w:fill="auto"/>
                  <w:tcMar>
                    <w:left w:w="0" w:type="dxa"/>
                    <w:right w:w="0" w:type="dxa"/>
                  </w:tcMar>
                  <w:vAlign w:val="center"/>
                </w:tcPr>
                <w:p w14:paraId="726E5131">
                  <w:pPr>
                    <w:pStyle w:val="117"/>
                    <w:spacing w:line="0" w:lineRule="atLeast"/>
                    <w:rPr>
                      <w:rFonts w:ascii="Times New Roman" w:hAnsi="Times New Roman" w:cs="Times New Roman"/>
                      <w:b/>
                      <w:bCs/>
                      <w:color w:val="auto"/>
                      <w:highlight w:val="none"/>
                    </w:rPr>
                  </w:pPr>
                  <w:r>
                    <w:rPr>
                      <w:rFonts w:ascii="Times New Roman" w:hAnsi="Times New Roman" w:cs="Times New Roman"/>
                      <w:b/>
                      <w:bCs/>
                      <w:color w:val="auto"/>
                      <w:highlight w:val="none"/>
                    </w:rPr>
                    <w:t>评价标准</w:t>
                  </w:r>
                </w:p>
              </w:tc>
              <w:tc>
                <w:tcPr>
                  <w:tcW w:w="1418" w:type="pct"/>
                  <w:shd w:val="clear" w:color="auto" w:fill="auto"/>
                  <w:vAlign w:val="center"/>
                </w:tcPr>
                <w:p w14:paraId="79418BA6">
                  <w:pPr>
                    <w:pStyle w:val="117"/>
                    <w:spacing w:line="0" w:lineRule="atLeast"/>
                    <w:rPr>
                      <w:rFonts w:ascii="Times New Roman" w:hAnsi="Times New Roman" w:cs="Times New Roman"/>
                      <w:b/>
                      <w:bCs/>
                      <w:color w:val="auto"/>
                      <w:highlight w:val="none"/>
                    </w:rPr>
                  </w:pPr>
                  <w:r>
                    <w:rPr>
                      <w:rFonts w:ascii="Times New Roman" w:hAnsi="Times New Roman" w:cs="Times New Roman"/>
                      <w:b/>
                      <w:bCs/>
                      <w:color w:val="auto"/>
                      <w:highlight w:val="none"/>
                    </w:rPr>
                    <w:t>标准来源</w:t>
                  </w:r>
                </w:p>
              </w:tc>
            </w:tr>
            <w:tr w14:paraId="14292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13" w:type="pct"/>
                  <w:vMerge w:val="restart"/>
                  <w:shd w:val="clear" w:color="auto" w:fill="auto"/>
                  <w:tcMar>
                    <w:left w:w="0" w:type="dxa"/>
                    <w:right w:w="0" w:type="dxa"/>
                  </w:tcMar>
                  <w:vAlign w:val="center"/>
                </w:tcPr>
                <w:p w14:paraId="3AD556CB">
                  <w:pPr>
                    <w:pStyle w:val="265"/>
                    <w:spacing w:line="0" w:lineRule="atLeast"/>
                    <w:rPr>
                      <w:rFonts w:ascii="Times New Roman" w:hAnsi="Times New Roman"/>
                      <w:b w:val="0"/>
                      <w:color w:val="auto"/>
                      <w:sz w:val="21"/>
                      <w:szCs w:val="21"/>
                      <w:highlight w:val="none"/>
                    </w:rPr>
                  </w:pPr>
                  <w:r>
                    <w:rPr>
                      <w:rFonts w:ascii="Times New Roman" w:hAnsi="Times New Roman"/>
                      <w:b w:val="0"/>
                      <w:color w:val="auto"/>
                      <w:sz w:val="21"/>
                      <w:szCs w:val="21"/>
                      <w:highlight w:val="none"/>
                    </w:rPr>
                    <w:t>电磁环境</w:t>
                  </w:r>
                </w:p>
              </w:tc>
              <w:tc>
                <w:tcPr>
                  <w:tcW w:w="650" w:type="pct"/>
                  <w:vMerge w:val="restart"/>
                  <w:shd w:val="clear" w:color="auto" w:fill="auto"/>
                  <w:tcMar>
                    <w:left w:w="0" w:type="dxa"/>
                    <w:right w:w="0" w:type="dxa"/>
                  </w:tcMar>
                  <w:vAlign w:val="center"/>
                </w:tcPr>
                <w:p w14:paraId="079BE3E8">
                  <w:pPr>
                    <w:pStyle w:val="265"/>
                    <w:spacing w:line="0" w:lineRule="atLeast"/>
                    <w:rPr>
                      <w:rFonts w:ascii="Times New Roman" w:hAnsi="Times New Roman"/>
                      <w:b w:val="0"/>
                      <w:color w:val="auto"/>
                      <w:sz w:val="21"/>
                      <w:szCs w:val="21"/>
                      <w:highlight w:val="none"/>
                    </w:rPr>
                  </w:pPr>
                  <w:r>
                    <w:rPr>
                      <w:rFonts w:ascii="Times New Roman" w:hAnsi="Times New Roman"/>
                      <w:b w:val="0"/>
                      <w:color w:val="auto"/>
                      <w:sz w:val="21"/>
                      <w:szCs w:val="21"/>
                      <w:highlight w:val="none"/>
                    </w:rPr>
                    <w:t>工频电场</w:t>
                  </w:r>
                </w:p>
              </w:tc>
              <w:tc>
                <w:tcPr>
                  <w:tcW w:w="2417" w:type="pct"/>
                  <w:shd w:val="clear" w:color="auto" w:fill="auto"/>
                  <w:tcMar>
                    <w:left w:w="0" w:type="dxa"/>
                    <w:right w:w="0" w:type="dxa"/>
                  </w:tcMar>
                  <w:vAlign w:val="center"/>
                </w:tcPr>
                <w:p w14:paraId="27FA0FE2">
                  <w:pPr>
                    <w:pStyle w:val="15"/>
                    <w:spacing w:line="0" w:lineRule="atLeast"/>
                    <w:jc w:val="center"/>
                    <w:rPr>
                      <w:snapToGrid w:val="0"/>
                      <w:color w:val="auto"/>
                      <w:sz w:val="21"/>
                      <w:szCs w:val="21"/>
                      <w:highlight w:val="none"/>
                    </w:rPr>
                  </w:pPr>
                  <w:r>
                    <w:rPr>
                      <w:snapToGrid w:val="0"/>
                      <w:color w:val="auto"/>
                      <w:sz w:val="21"/>
                      <w:szCs w:val="21"/>
                      <w:highlight w:val="none"/>
                    </w:rPr>
                    <w:t>工频电场强度公众曝露限值</w:t>
                  </w:r>
                  <w:r>
                    <w:rPr>
                      <w:bCs/>
                      <w:color w:val="auto"/>
                      <w:sz w:val="21"/>
                      <w:szCs w:val="21"/>
                      <w:highlight w:val="none"/>
                    </w:rPr>
                    <w:t>为</w:t>
                  </w:r>
                  <w:r>
                    <w:rPr>
                      <w:color w:val="auto"/>
                      <w:sz w:val="21"/>
                      <w:szCs w:val="21"/>
                      <w:highlight w:val="none"/>
                    </w:rPr>
                    <w:t>4000V/m</w:t>
                  </w:r>
                </w:p>
              </w:tc>
              <w:tc>
                <w:tcPr>
                  <w:tcW w:w="1418" w:type="pct"/>
                  <w:vMerge w:val="restart"/>
                  <w:shd w:val="clear" w:color="auto" w:fill="auto"/>
                  <w:vAlign w:val="center"/>
                </w:tcPr>
                <w:p w14:paraId="06509C2C">
                  <w:pPr>
                    <w:pStyle w:val="15"/>
                    <w:spacing w:line="0" w:lineRule="atLeast"/>
                    <w:jc w:val="center"/>
                    <w:rPr>
                      <w:snapToGrid w:val="0"/>
                      <w:color w:val="auto"/>
                      <w:sz w:val="21"/>
                      <w:szCs w:val="21"/>
                      <w:highlight w:val="none"/>
                    </w:rPr>
                  </w:pPr>
                  <w:r>
                    <w:rPr>
                      <w:snapToGrid w:val="0"/>
                      <w:color w:val="auto"/>
                      <w:sz w:val="21"/>
                      <w:szCs w:val="21"/>
                      <w:highlight w:val="none"/>
                    </w:rPr>
                    <w:t>《电磁环境控制限值》（GB</w:t>
                  </w:r>
                  <w:r>
                    <w:rPr>
                      <w:rFonts w:hint="eastAsia"/>
                      <w:snapToGrid w:val="0"/>
                      <w:color w:val="auto"/>
                      <w:sz w:val="21"/>
                      <w:szCs w:val="21"/>
                      <w:highlight w:val="none"/>
                      <w:lang w:val="en-US" w:eastAsia="zh-CN"/>
                    </w:rPr>
                    <w:t xml:space="preserve"> </w:t>
                  </w:r>
                  <w:r>
                    <w:rPr>
                      <w:snapToGrid w:val="0"/>
                      <w:color w:val="auto"/>
                      <w:sz w:val="21"/>
                      <w:szCs w:val="21"/>
                      <w:highlight w:val="none"/>
                    </w:rPr>
                    <w:t>8702-2014）</w:t>
                  </w:r>
                </w:p>
              </w:tc>
            </w:tr>
            <w:tr w14:paraId="5CD68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13" w:type="pct"/>
                  <w:vMerge w:val="continue"/>
                  <w:shd w:val="clear" w:color="auto" w:fill="auto"/>
                  <w:tcMar>
                    <w:left w:w="0" w:type="dxa"/>
                    <w:right w:w="0" w:type="dxa"/>
                  </w:tcMar>
                  <w:vAlign w:val="center"/>
                </w:tcPr>
                <w:p w14:paraId="6C42F049">
                  <w:pPr>
                    <w:pStyle w:val="265"/>
                    <w:spacing w:line="0" w:lineRule="atLeast"/>
                    <w:rPr>
                      <w:rFonts w:ascii="Times New Roman" w:hAnsi="Times New Roman"/>
                      <w:b w:val="0"/>
                      <w:color w:val="auto"/>
                      <w:sz w:val="21"/>
                      <w:szCs w:val="21"/>
                      <w:highlight w:val="none"/>
                    </w:rPr>
                  </w:pPr>
                </w:p>
              </w:tc>
              <w:tc>
                <w:tcPr>
                  <w:tcW w:w="650" w:type="pct"/>
                  <w:vMerge w:val="continue"/>
                  <w:shd w:val="clear" w:color="auto" w:fill="auto"/>
                  <w:tcMar>
                    <w:left w:w="0" w:type="dxa"/>
                    <w:right w:w="0" w:type="dxa"/>
                  </w:tcMar>
                  <w:vAlign w:val="center"/>
                </w:tcPr>
                <w:p w14:paraId="2CE0C863">
                  <w:pPr>
                    <w:pStyle w:val="265"/>
                    <w:spacing w:line="0" w:lineRule="atLeast"/>
                    <w:rPr>
                      <w:rFonts w:ascii="Times New Roman" w:hAnsi="Times New Roman"/>
                      <w:b w:val="0"/>
                      <w:color w:val="auto"/>
                      <w:sz w:val="21"/>
                      <w:szCs w:val="21"/>
                      <w:highlight w:val="none"/>
                    </w:rPr>
                  </w:pPr>
                </w:p>
              </w:tc>
              <w:tc>
                <w:tcPr>
                  <w:tcW w:w="2417" w:type="pct"/>
                  <w:shd w:val="clear" w:color="auto" w:fill="auto"/>
                  <w:tcMar>
                    <w:left w:w="0" w:type="dxa"/>
                    <w:right w:w="0" w:type="dxa"/>
                  </w:tcMar>
                  <w:vAlign w:val="center"/>
                </w:tcPr>
                <w:p w14:paraId="27670D06">
                  <w:pPr>
                    <w:pStyle w:val="15"/>
                    <w:spacing w:line="0" w:lineRule="atLeast"/>
                    <w:jc w:val="center"/>
                    <w:rPr>
                      <w:snapToGrid w:val="0"/>
                      <w:color w:val="auto"/>
                      <w:sz w:val="21"/>
                      <w:szCs w:val="21"/>
                      <w:highlight w:val="none"/>
                    </w:rPr>
                  </w:pPr>
                  <w:r>
                    <w:rPr>
                      <w:rFonts w:ascii="Times New Roman" w:hAnsi="Times New Roman" w:eastAsia="宋体" w:cs="Times New Roman"/>
                      <w:color w:val="auto"/>
                      <w:sz w:val="21"/>
                      <w:szCs w:val="21"/>
                      <w:highlight w:val="none"/>
                    </w:rPr>
                    <w:t>架空线路下的耕地、园地、牧草地、畜禽饲养地、养殖水面、道路等场所工频电场强度</w:t>
                  </w:r>
                  <w:r>
                    <w:rPr>
                      <w:rFonts w:hint="eastAsia" w:ascii="Times New Roman" w:hAnsi="Times New Roman" w:eastAsia="宋体" w:cs="Times New Roman"/>
                      <w:color w:val="auto"/>
                      <w:sz w:val="21"/>
                      <w:szCs w:val="21"/>
                      <w:highlight w:val="none"/>
                      <w:lang w:val="en-US" w:eastAsia="zh-CN"/>
                    </w:rPr>
                    <w:t>控制</w:t>
                  </w:r>
                  <w:r>
                    <w:rPr>
                      <w:rFonts w:ascii="Times New Roman" w:hAnsi="Times New Roman" w:eastAsia="宋体" w:cs="Times New Roman"/>
                      <w:color w:val="auto"/>
                      <w:sz w:val="21"/>
                      <w:szCs w:val="21"/>
                      <w:highlight w:val="none"/>
                    </w:rPr>
                    <w:t>限值为10kV/m，且应给出警示和防护标志。</w:t>
                  </w:r>
                </w:p>
              </w:tc>
              <w:tc>
                <w:tcPr>
                  <w:tcW w:w="1418" w:type="pct"/>
                  <w:vMerge w:val="continue"/>
                  <w:shd w:val="clear" w:color="auto" w:fill="auto"/>
                  <w:vAlign w:val="center"/>
                </w:tcPr>
                <w:p w14:paraId="2FC3F5BE">
                  <w:pPr>
                    <w:pStyle w:val="15"/>
                    <w:spacing w:line="0" w:lineRule="atLeast"/>
                    <w:jc w:val="center"/>
                    <w:rPr>
                      <w:snapToGrid w:val="0"/>
                      <w:color w:val="auto"/>
                      <w:sz w:val="21"/>
                      <w:szCs w:val="21"/>
                      <w:highlight w:val="none"/>
                    </w:rPr>
                  </w:pPr>
                </w:p>
              </w:tc>
            </w:tr>
            <w:tr w14:paraId="1A1DE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13" w:type="pct"/>
                  <w:vMerge w:val="continue"/>
                  <w:shd w:val="clear" w:color="auto" w:fill="auto"/>
                  <w:tcMar>
                    <w:left w:w="0" w:type="dxa"/>
                    <w:right w:w="0" w:type="dxa"/>
                  </w:tcMar>
                  <w:vAlign w:val="center"/>
                </w:tcPr>
                <w:p w14:paraId="5A6BF1D7">
                  <w:pPr>
                    <w:pStyle w:val="265"/>
                    <w:spacing w:line="0" w:lineRule="atLeast"/>
                    <w:rPr>
                      <w:rFonts w:ascii="Times New Roman" w:hAnsi="Times New Roman"/>
                      <w:b w:val="0"/>
                      <w:color w:val="auto"/>
                      <w:sz w:val="21"/>
                      <w:szCs w:val="21"/>
                      <w:highlight w:val="none"/>
                    </w:rPr>
                  </w:pPr>
                </w:p>
              </w:tc>
              <w:tc>
                <w:tcPr>
                  <w:tcW w:w="650" w:type="pct"/>
                  <w:shd w:val="clear" w:color="auto" w:fill="auto"/>
                  <w:tcMar>
                    <w:left w:w="0" w:type="dxa"/>
                    <w:right w:w="0" w:type="dxa"/>
                  </w:tcMar>
                  <w:vAlign w:val="center"/>
                </w:tcPr>
                <w:p w14:paraId="111F15B9">
                  <w:pPr>
                    <w:pStyle w:val="265"/>
                    <w:spacing w:line="0" w:lineRule="atLeast"/>
                    <w:rPr>
                      <w:rFonts w:ascii="Times New Roman" w:hAnsi="Times New Roman"/>
                      <w:b w:val="0"/>
                      <w:color w:val="auto"/>
                      <w:sz w:val="21"/>
                      <w:szCs w:val="21"/>
                      <w:highlight w:val="none"/>
                    </w:rPr>
                  </w:pPr>
                  <w:r>
                    <w:rPr>
                      <w:rFonts w:ascii="Times New Roman" w:hAnsi="Times New Roman"/>
                      <w:b w:val="0"/>
                      <w:color w:val="auto"/>
                      <w:sz w:val="21"/>
                      <w:szCs w:val="21"/>
                      <w:highlight w:val="none"/>
                    </w:rPr>
                    <w:t>工频磁场</w:t>
                  </w:r>
                </w:p>
              </w:tc>
              <w:tc>
                <w:tcPr>
                  <w:tcW w:w="2417" w:type="pct"/>
                  <w:shd w:val="clear" w:color="auto" w:fill="auto"/>
                  <w:tcMar>
                    <w:left w:w="0" w:type="dxa"/>
                    <w:right w:w="0" w:type="dxa"/>
                  </w:tcMar>
                  <w:vAlign w:val="center"/>
                </w:tcPr>
                <w:p w14:paraId="01338E22">
                  <w:pPr>
                    <w:pStyle w:val="15"/>
                    <w:spacing w:line="0" w:lineRule="atLeast"/>
                    <w:jc w:val="center"/>
                    <w:rPr>
                      <w:snapToGrid w:val="0"/>
                      <w:color w:val="auto"/>
                      <w:sz w:val="21"/>
                      <w:szCs w:val="21"/>
                      <w:highlight w:val="none"/>
                    </w:rPr>
                  </w:pPr>
                  <w:r>
                    <w:rPr>
                      <w:snapToGrid w:val="0"/>
                      <w:color w:val="auto"/>
                      <w:sz w:val="21"/>
                      <w:szCs w:val="21"/>
                      <w:highlight w:val="none"/>
                    </w:rPr>
                    <w:t>工频磁感应强度公众曝露限值为100μT</w:t>
                  </w:r>
                </w:p>
              </w:tc>
              <w:tc>
                <w:tcPr>
                  <w:tcW w:w="1418" w:type="pct"/>
                  <w:vMerge w:val="continue"/>
                  <w:shd w:val="clear" w:color="auto" w:fill="auto"/>
                  <w:vAlign w:val="center"/>
                </w:tcPr>
                <w:p w14:paraId="0B94A693">
                  <w:pPr>
                    <w:pStyle w:val="15"/>
                    <w:spacing w:line="0" w:lineRule="atLeast"/>
                    <w:jc w:val="center"/>
                    <w:rPr>
                      <w:snapToGrid w:val="0"/>
                      <w:color w:val="auto"/>
                      <w:sz w:val="21"/>
                      <w:szCs w:val="21"/>
                      <w:highlight w:val="none"/>
                    </w:rPr>
                  </w:pPr>
                </w:p>
              </w:tc>
            </w:tr>
          </w:tbl>
          <w:p w14:paraId="6C76D320">
            <w:pPr>
              <w:keepNext w:val="0"/>
              <w:keepLines w:val="0"/>
              <w:pageBreakBefore w:val="0"/>
              <w:widowControl w:val="0"/>
              <w:kinsoku/>
              <w:wordWrap/>
              <w:overflowPunct/>
              <w:topLinePunct w:val="0"/>
              <w:autoSpaceDE/>
              <w:autoSpaceDN/>
              <w:bidi w:val="0"/>
              <w:adjustRightInd/>
              <w:snapToGrid/>
              <w:spacing w:line="240" w:lineRule="auto"/>
              <w:textAlignment w:val="auto"/>
              <w:rPr>
                <w:color w:val="auto"/>
                <w:highlight w:val="none"/>
              </w:rPr>
            </w:pPr>
            <w:r>
              <w:rPr>
                <w:rFonts w:hint="eastAsia"/>
                <w:color w:val="auto"/>
                <w:highlight w:val="none"/>
              </w:rPr>
              <w:t>备</w:t>
            </w:r>
            <w:r>
              <w:rPr>
                <w:color w:val="auto"/>
                <w:highlight w:val="none"/>
              </w:rPr>
              <w:t>注：依据《电磁环境控制限值》（GB</w:t>
            </w:r>
            <w:r>
              <w:rPr>
                <w:rFonts w:hint="eastAsia"/>
                <w:color w:val="auto"/>
                <w:highlight w:val="none"/>
                <w:lang w:val="en-US" w:eastAsia="zh-CN"/>
              </w:rPr>
              <w:t xml:space="preserve"> </w:t>
            </w:r>
            <w:r>
              <w:rPr>
                <w:color w:val="auto"/>
                <w:highlight w:val="none"/>
              </w:rPr>
              <w:t>8702-2014），电场强度、磁感应强度公众曝露控制限值与电磁场频率（f，单位为kHz）有关，我国交流电流频率采用50Hz，因此交流输变电工程工频电场、工频磁场公众曝露控制限值分别为200/f（V/m）、5/f（μT），即4000V/m和100μT。</w:t>
            </w:r>
          </w:p>
          <w:p w14:paraId="5D0590A1">
            <w:pPr>
              <w:spacing w:line="360" w:lineRule="auto"/>
              <w:ind w:firstLine="482" w:firstLineChars="200"/>
              <w:rPr>
                <w:b/>
                <w:bCs/>
                <w:color w:val="auto"/>
                <w:kern w:val="0"/>
                <w:sz w:val="24"/>
                <w:highlight w:val="none"/>
              </w:rPr>
            </w:pPr>
            <w:r>
              <w:rPr>
                <w:b/>
                <w:bCs/>
                <w:color w:val="auto"/>
                <w:kern w:val="0"/>
                <w:sz w:val="24"/>
                <w:highlight w:val="none"/>
              </w:rPr>
              <w:t>（2）声环境</w:t>
            </w:r>
          </w:p>
          <w:p w14:paraId="79E6B9BF">
            <w:pPr>
              <w:spacing w:line="360" w:lineRule="auto"/>
              <w:ind w:firstLine="480" w:firstLineChars="200"/>
              <w:rPr>
                <w:color w:val="auto"/>
                <w:kern w:val="0"/>
                <w:sz w:val="24"/>
                <w:szCs w:val="24"/>
                <w:highlight w:val="none"/>
              </w:rPr>
            </w:pPr>
            <w:r>
              <w:rPr>
                <w:rFonts w:hint="eastAsia"/>
                <w:color w:val="auto"/>
                <w:kern w:val="0"/>
                <w:sz w:val="24"/>
                <w:highlight w:val="none"/>
                <w:lang w:val="en-US" w:eastAsia="zh-CN"/>
              </w:rPr>
              <w:t>根据</w:t>
            </w:r>
            <w:r>
              <w:rPr>
                <w:rFonts w:hint="eastAsia"/>
                <w:color w:val="auto"/>
                <w:kern w:val="0"/>
                <w:sz w:val="24"/>
                <w:highlight w:val="none"/>
              </w:rPr>
              <w:t>《柳州市城市区域声环境功能区划分调整方案</w:t>
            </w:r>
            <w:r>
              <w:rPr>
                <w:rFonts w:hint="eastAsia"/>
                <w:color w:val="auto"/>
                <w:kern w:val="0"/>
                <w:sz w:val="24"/>
                <w:highlight w:val="none"/>
                <w:lang w:eastAsia="zh-CN"/>
              </w:rPr>
              <w:t>》（鹿政办发〔2018〕52号）（2023年11月28日）</w:t>
            </w:r>
            <w:r>
              <w:rPr>
                <w:rFonts w:hint="eastAsia"/>
                <w:color w:val="auto"/>
                <w:kern w:val="0"/>
                <w:sz w:val="24"/>
                <w:highlight w:val="none"/>
              </w:rPr>
              <w:t>，</w:t>
            </w:r>
            <w:r>
              <w:rPr>
                <w:color w:val="auto"/>
                <w:sz w:val="24"/>
                <w:highlight w:val="none"/>
              </w:rPr>
              <w:t>本</w:t>
            </w:r>
            <w:r>
              <w:rPr>
                <w:rFonts w:hint="eastAsia"/>
                <w:color w:val="auto"/>
                <w:sz w:val="24"/>
                <w:highlight w:val="none"/>
              </w:rPr>
              <w:t>项目</w:t>
            </w:r>
            <w:r>
              <w:rPr>
                <w:color w:val="auto"/>
                <w:sz w:val="24"/>
                <w:highlight w:val="none"/>
              </w:rPr>
              <w:t>所处的声环境功能区主要为《声环境质量标准》（GB3096-2008）规定的</w:t>
            </w:r>
            <w:r>
              <w:rPr>
                <w:rFonts w:hint="eastAsia"/>
                <w:color w:val="auto"/>
                <w:kern w:val="0"/>
                <w:sz w:val="24"/>
                <w:highlight w:val="none"/>
                <w:lang w:val="en-US" w:eastAsia="zh-CN"/>
              </w:rPr>
              <w:t>4a</w:t>
            </w:r>
            <w:r>
              <w:rPr>
                <w:rFonts w:hint="eastAsia"/>
                <w:color w:val="auto"/>
                <w:kern w:val="0"/>
                <w:sz w:val="24"/>
                <w:highlight w:val="none"/>
              </w:rPr>
              <w:t>类声环境功能区。</w:t>
            </w:r>
            <w:r>
              <w:rPr>
                <w:color w:val="auto"/>
                <w:kern w:val="0"/>
                <w:sz w:val="24"/>
                <w:szCs w:val="24"/>
                <w:highlight w:val="none"/>
              </w:rPr>
              <w:t>项目执行的声环境质量标准见表3-</w:t>
            </w:r>
            <w:r>
              <w:rPr>
                <w:rFonts w:hint="eastAsia"/>
                <w:color w:val="auto"/>
                <w:kern w:val="0"/>
                <w:sz w:val="24"/>
                <w:szCs w:val="24"/>
                <w:highlight w:val="none"/>
                <w:lang w:val="en-US" w:eastAsia="zh-CN"/>
              </w:rPr>
              <w:t>8</w:t>
            </w:r>
            <w:r>
              <w:rPr>
                <w:color w:val="auto"/>
                <w:kern w:val="0"/>
                <w:sz w:val="24"/>
                <w:szCs w:val="24"/>
                <w:highlight w:val="none"/>
              </w:rPr>
              <w:t>。</w:t>
            </w:r>
          </w:p>
          <w:p w14:paraId="7180A821">
            <w:pPr>
              <w:pStyle w:val="23"/>
              <w:numPr>
                <w:ilvl w:val="0"/>
                <w:numId w:val="5"/>
              </w:numPr>
              <w:tabs>
                <w:tab w:val="right" w:pos="5142"/>
              </w:tabs>
              <w:ind w:left="0" w:leftChars="0" w:firstLine="0" w:firstLineChars="0"/>
              <w:jc w:val="center"/>
              <w:rPr>
                <w:color w:val="auto"/>
                <w:kern w:val="0"/>
                <w:sz w:val="24"/>
                <w:szCs w:val="24"/>
                <w:highlight w:val="none"/>
              </w:rPr>
            </w:pPr>
            <w:r>
              <w:rPr>
                <w:b/>
                <w:bCs/>
                <w:color w:val="auto"/>
                <w:kern w:val="0"/>
                <w:sz w:val="24"/>
                <w:szCs w:val="24"/>
                <w:highlight w:val="none"/>
              </w:rPr>
              <w:t xml:space="preserve">  项目执行的声环境质量标准明细表</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1885"/>
              <w:gridCol w:w="1108"/>
              <w:gridCol w:w="1319"/>
              <w:gridCol w:w="1472"/>
              <w:gridCol w:w="2280"/>
            </w:tblGrid>
            <w:tr w14:paraId="3929C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375" w:type="pct"/>
                  <w:vMerge w:val="restart"/>
                  <w:noWrap w:val="0"/>
                  <w:vAlign w:val="center"/>
                </w:tcPr>
                <w:p w14:paraId="4A9A8EC2">
                  <w:pPr>
                    <w:autoSpaceDN w:val="0"/>
                    <w:adjustRightInd w:val="0"/>
                    <w:snapToGrid w:val="0"/>
                    <w:jc w:val="center"/>
                    <w:textAlignment w:val="baseline"/>
                    <w:rPr>
                      <w:color w:val="auto"/>
                      <w:kern w:val="0"/>
                      <w:szCs w:val="21"/>
                      <w:highlight w:val="none"/>
                    </w:rPr>
                  </w:pPr>
                  <w:r>
                    <w:rPr>
                      <w:color w:val="auto"/>
                      <w:kern w:val="0"/>
                      <w:szCs w:val="21"/>
                      <w:highlight w:val="none"/>
                    </w:rPr>
                    <w:t>要素</w:t>
                  </w:r>
                </w:p>
                <w:p w14:paraId="1470F3AA">
                  <w:pPr>
                    <w:autoSpaceDN w:val="0"/>
                    <w:adjustRightInd w:val="0"/>
                    <w:snapToGrid w:val="0"/>
                    <w:jc w:val="center"/>
                    <w:textAlignment w:val="baseline"/>
                    <w:rPr>
                      <w:color w:val="auto"/>
                      <w:kern w:val="0"/>
                      <w:szCs w:val="21"/>
                      <w:highlight w:val="none"/>
                    </w:rPr>
                  </w:pPr>
                  <w:r>
                    <w:rPr>
                      <w:color w:val="auto"/>
                      <w:kern w:val="0"/>
                      <w:szCs w:val="21"/>
                      <w:highlight w:val="none"/>
                    </w:rPr>
                    <w:t>分类</w:t>
                  </w:r>
                </w:p>
              </w:tc>
              <w:tc>
                <w:tcPr>
                  <w:tcW w:w="1081" w:type="pct"/>
                  <w:vMerge w:val="restart"/>
                  <w:noWrap w:val="0"/>
                  <w:vAlign w:val="center"/>
                </w:tcPr>
                <w:p w14:paraId="3944207F">
                  <w:pPr>
                    <w:autoSpaceDN w:val="0"/>
                    <w:adjustRightInd w:val="0"/>
                    <w:snapToGrid w:val="0"/>
                    <w:jc w:val="center"/>
                    <w:textAlignment w:val="baseline"/>
                    <w:rPr>
                      <w:color w:val="auto"/>
                      <w:kern w:val="0"/>
                      <w:szCs w:val="21"/>
                      <w:highlight w:val="none"/>
                    </w:rPr>
                  </w:pPr>
                  <w:r>
                    <w:rPr>
                      <w:color w:val="auto"/>
                      <w:kern w:val="0"/>
                      <w:szCs w:val="21"/>
                      <w:highlight w:val="none"/>
                    </w:rPr>
                    <w:t>标准名称</w:t>
                  </w:r>
                </w:p>
              </w:tc>
              <w:tc>
                <w:tcPr>
                  <w:tcW w:w="635" w:type="pct"/>
                  <w:vMerge w:val="restart"/>
                  <w:noWrap w:val="0"/>
                  <w:vAlign w:val="center"/>
                </w:tcPr>
                <w:p w14:paraId="0E9E4F84">
                  <w:pPr>
                    <w:autoSpaceDN w:val="0"/>
                    <w:adjustRightInd w:val="0"/>
                    <w:snapToGrid w:val="0"/>
                    <w:jc w:val="center"/>
                    <w:textAlignment w:val="baseline"/>
                    <w:rPr>
                      <w:color w:val="auto"/>
                      <w:kern w:val="0"/>
                      <w:szCs w:val="21"/>
                      <w:highlight w:val="none"/>
                    </w:rPr>
                  </w:pPr>
                  <w:r>
                    <w:rPr>
                      <w:color w:val="auto"/>
                      <w:kern w:val="0"/>
                      <w:szCs w:val="21"/>
                      <w:highlight w:val="none"/>
                    </w:rPr>
                    <w:t>适用</w:t>
                  </w:r>
                </w:p>
                <w:p w14:paraId="28AADD78">
                  <w:pPr>
                    <w:autoSpaceDN w:val="0"/>
                    <w:adjustRightInd w:val="0"/>
                    <w:snapToGrid w:val="0"/>
                    <w:jc w:val="center"/>
                    <w:textAlignment w:val="baseline"/>
                    <w:rPr>
                      <w:color w:val="auto"/>
                      <w:kern w:val="0"/>
                      <w:szCs w:val="21"/>
                      <w:highlight w:val="none"/>
                    </w:rPr>
                  </w:pPr>
                  <w:r>
                    <w:rPr>
                      <w:color w:val="auto"/>
                      <w:kern w:val="0"/>
                      <w:szCs w:val="21"/>
                      <w:highlight w:val="none"/>
                    </w:rPr>
                    <w:t>类别</w:t>
                  </w:r>
                </w:p>
              </w:tc>
              <w:tc>
                <w:tcPr>
                  <w:tcW w:w="1600" w:type="pct"/>
                  <w:gridSpan w:val="2"/>
                  <w:noWrap w:val="0"/>
                  <w:vAlign w:val="center"/>
                </w:tcPr>
                <w:p w14:paraId="7B1BFF91">
                  <w:pPr>
                    <w:autoSpaceDN w:val="0"/>
                    <w:adjustRightInd w:val="0"/>
                    <w:snapToGrid w:val="0"/>
                    <w:jc w:val="center"/>
                    <w:textAlignment w:val="baseline"/>
                    <w:rPr>
                      <w:color w:val="auto"/>
                      <w:kern w:val="0"/>
                      <w:szCs w:val="21"/>
                      <w:highlight w:val="none"/>
                    </w:rPr>
                  </w:pPr>
                  <w:r>
                    <w:rPr>
                      <w:color w:val="auto"/>
                      <w:kern w:val="0"/>
                      <w:szCs w:val="21"/>
                      <w:highlight w:val="none"/>
                    </w:rPr>
                    <w:t>标准值</w:t>
                  </w:r>
                </w:p>
              </w:tc>
              <w:tc>
                <w:tcPr>
                  <w:tcW w:w="1307" w:type="pct"/>
                  <w:vMerge w:val="restart"/>
                  <w:noWrap w:val="0"/>
                  <w:vAlign w:val="center"/>
                </w:tcPr>
                <w:p w14:paraId="4DD39738">
                  <w:pPr>
                    <w:autoSpaceDN w:val="0"/>
                    <w:adjustRightInd w:val="0"/>
                    <w:snapToGrid w:val="0"/>
                    <w:jc w:val="center"/>
                    <w:textAlignment w:val="baseline"/>
                    <w:rPr>
                      <w:color w:val="auto"/>
                      <w:kern w:val="0"/>
                      <w:szCs w:val="21"/>
                      <w:highlight w:val="none"/>
                    </w:rPr>
                  </w:pPr>
                  <w:r>
                    <w:rPr>
                      <w:color w:val="auto"/>
                      <w:kern w:val="0"/>
                      <w:szCs w:val="21"/>
                      <w:highlight w:val="none"/>
                    </w:rPr>
                    <w:t>适用范围</w:t>
                  </w:r>
                </w:p>
              </w:tc>
            </w:tr>
            <w:tr w14:paraId="7D8D3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375" w:type="pct"/>
                  <w:vMerge w:val="continue"/>
                  <w:noWrap w:val="0"/>
                  <w:vAlign w:val="center"/>
                </w:tcPr>
                <w:p w14:paraId="3144EF99">
                  <w:pPr>
                    <w:autoSpaceDN w:val="0"/>
                    <w:adjustRightInd w:val="0"/>
                    <w:snapToGrid w:val="0"/>
                    <w:jc w:val="center"/>
                    <w:textAlignment w:val="baseline"/>
                    <w:rPr>
                      <w:color w:val="auto"/>
                      <w:kern w:val="0"/>
                      <w:szCs w:val="21"/>
                      <w:highlight w:val="none"/>
                    </w:rPr>
                  </w:pPr>
                </w:p>
              </w:tc>
              <w:tc>
                <w:tcPr>
                  <w:tcW w:w="1081" w:type="pct"/>
                  <w:vMerge w:val="continue"/>
                  <w:noWrap w:val="0"/>
                  <w:vAlign w:val="center"/>
                </w:tcPr>
                <w:p w14:paraId="09D6A66C">
                  <w:pPr>
                    <w:autoSpaceDN w:val="0"/>
                    <w:adjustRightInd w:val="0"/>
                    <w:snapToGrid w:val="0"/>
                    <w:jc w:val="center"/>
                    <w:textAlignment w:val="baseline"/>
                    <w:rPr>
                      <w:color w:val="auto"/>
                      <w:kern w:val="0"/>
                      <w:szCs w:val="21"/>
                      <w:highlight w:val="none"/>
                    </w:rPr>
                  </w:pPr>
                </w:p>
              </w:tc>
              <w:tc>
                <w:tcPr>
                  <w:tcW w:w="635" w:type="pct"/>
                  <w:vMerge w:val="continue"/>
                  <w:noWrap w:val="0"/>
                  <w:vAlign w:val="center"/>
                </w:tcPr>
                <w:p w14:paraId="006D3CC0">
                  <w:pPr>
                    <w:autoSpaceDN w:val="0"/>
                    <w:adjustRightInd w:val="0"/>
                    <w:snapToGrid w:val="0"/>
                    <w:jc w:val="center"/>
                    <w:textAlignment w:val="baseline"/>
                    <w:rPr>
                      <w:color w:val="auto"/>
                      <w:kern w:val="0"/>
                      <w:szCs w:val="21"/>
                      <w:highlight w:val="none"/>
                    </w:rPr>
                  </w:pPr>
                </w:p>
              </w:tc>
              <w:tc>
                <w:tcPr>
                  <w:tcW w:w="756" w:type="pct"/>
                  <w:noWrap w:val="0"/>
                  <w:vAlign w:val="center"/>
                </w:tcPr>
                <w:p w14:paraId="4612CE6A">
                  <w:pPr>
                    <w:autoSpaceDN w:val="0"/>
                    <w:adjustRightInd w:val="0"/>
                    <w:snapToGrid w:val="0"/>
                    <w:jc w:val="center"/>
                    <w:textAlignment w:val="baseline"/>
                    <w:rPr>
                      <w:color w:val="auto"/>
                      <w:kern w:val="0"/>
                      <w:szCs w:val="21"/>
                      <w:highlight w:val="none"/>
                    </w:rPr>
                  </w:pPr>
                  <w:r>
                    <w:rPr>
                      <w:color w:val="auto"/>
                      <w:kern w:val="0"/>
                      <w:szCs w:val="21"/>
                      <w:highlight w:val="none"/>
                    </w:rPr>
                    <w:t>参数名称</w:t>
                  </w:r>
                </w:p>
              </w:tc>
              <w:tc>
                <w:tcPr>
                  <w:tcW w:w="843" w:type="pct"/>
                  <w:noWrap w:val="0"/>
                  <w:vAlign w:val="center"/>
                </w:tcPr>
                <w:p w14:paraId="485DFD9A">
                  <w:pPr>
                    <w:autoSpaceDN w:val="0"/>
                    <w:adjustRightInd w:val="0"/>
                    <w:snapToGrid w:val="0"/>
                    <w:jc w:val="center"/>
                    <w:textAlignment w:val="baseline"/>
                    <w:rPr>
                      <w:color w:val="auto"/>
                      <w:kern w:val="0"/>
                      <w:szCs w:val="21"/>
                      <w:highlight w:val="none"/>
                    </w:rPr>
                  </w:pPr>
                  <w:r>
                    <w:rPr>
                      <w:color w:val="auto"/>
                      <w:kern w:val="0"/>
                      <w:szCs w:val="21"/>
                      <w:highlight w:val="none"/>
                    </w:rPr>
                    <w:t>限值</w:t>
                  </w:r>
                </w:p>
              </w:tc>
              <w:tc>
                <w:tcPr>
                  <w:tcW w:w="1307" w:type="pct"/>
                  <w:vMerge w:val="continue"/>
                  <w:noWrap w:val="0"/>
                  <w:vAlign w:val="center"/>
                </w:tcPr>
                <w:p w14:paraId="700F553B">
                  <w:pPr>
                    <w:autoSpaceDN w:val="0"/>
                    <w:adjustRightInd w:val="0"/>
                    <w:snapToGrid w:val="0"/>
                    <w:jc w:val="center"/>
                    <w:rPr>
                      <w:color w:val="auto"/>
                      <w:szCs w:val="21"/>
                      <w:highlight w:val="none"/>
                    </w:rPr>
                  </w:pPr>
                </w:p>
              </w:tc>
            </w:tr>
            <w:tr w14:paraId="2E19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375" w:type="pct"/>
                  <w:noWrap w:val="0"/>
                  <w:vAlign w:val="center"/>
                </w:tcPr>
                <w:p w14:paraId="51A13C18">
                  <w:pPr>
                    <w:autoSpaceDN w:val="0"/>
                    <w:adjustRightInd w:val="0"/>
                    <w:snapToGrid w:val="0"/>
                    <w:jc w:val="center"/>
                    <w:textAlignment w:val="baseline"/>
                    <w:rPr>
                      <w:color w:val="auto"/>
                      <w:kern w:val="0"/>
                      <w:szCs w:val="21"/>
                      <w:highlight w:val="none"/>
                    </w:rPr>
                  </w:pPr>
                  <w:r>
                    <w:rPr>
                      <w:color w:val="auto"/>
                      <w:kern w:val="0"/>
                      <w:szCs w:val="21"/>
                      <w:highlight w:val="none"/>
                    </w:rPr>
                    <w:t>声</w:t>
                  </w:r>
                </w:p>
                <w:p w14:paraId="0F026558">
                  <w:pPr>
                    <w:autoSpaceDN w:val="0"/>
                    <w:adjustRightInd w:val="0"/>
                    <w:snapToGrid w:val="0"/>
                    <w:jc w:val="center"/>
                    <w:textAlignment w:val="baseline"/>
                    <w:rPr>
                      <w:color w:val="auto"/>
                      <w:kern w:val="0"/>
                      <w:szCs w:val="21"/>
                      <w:highlight w:val="none"/>
                    </w:rPr>
                  </w:pPr>
                  <w:r>
                    <w:rPr>
                      <w:color w:val="auto"/>
                      <w:kern w:val="0"/>
                      <w:szCs w:val="21"/>
                      <w:highlight w:val="none"/>
                    </w:rPr>
                    <w:t>环</w:t>
                  </w:r>
                </w:p>
                <w:p w14:paraId="3DA40438">
                  <w:pPr>
                    <w:autoSpaceDN w:val="0"/>
                    <w:adjustRightInd w:val="0"/>
                    <w:snapToGrid w:val="0"/>
                    <w:jc w:val="center"/>
                    <w:textAlignment w:val="baseline"/>
                    <w:rPr>
                      <w:color w:val="auto"/>
                      <w:kern w:val="0"/>
                      <w:szCs w:val="21"/>
                      <w:highlight w:val="none"/>
                    </w:rPr>
                  </w:pPr>
                  <w:r>
                    <w:rPr>
                      <w:color w:val="auto"/>
                      <w:kern w:val="0"/>
                      <w:szCs w:val="21"/>
                      <w:highlight w:val="none"/>
                    </w:rPr>
                    <w:t>境</w:t>
                  </w:r>
                </w:p>
              </w:tc>
              <w:tc>
                <w:tcPr>
                  <w:tcW w:w="1081" w:type="pct"/>
                  <w:noWrap w:val="0"/>
                  <w:vAlign w:val="center"/>
                </w:tcPr>
                <w:p w14:paraId="40489B54">
                  <w:pPr>
                    <w:autoSpaceDN w:val="0"/>
                    <w:adjustRightInd w:val="0"/>
                    <w:snapToGrid w:val="0"/>
                    <w:jc w:val="center"/>
                    <w:textAlignment w:val="baseline"/>
                    <w:rPr>
                      <w:rFonts w:hint="eastAsia" w:eastAsia="宋体"/>
                      <w:color w:val="auto"/>
                      <w:kern w:val="0"/>
                      <w:szCs w:val="21"/>
                      <w:highlight w:val="none"/>
                      <w:lang w:eastAsia="zh-CN"/>
                    </w:rPr>
                  </w:pPr>
                  <w:r>
                    <w:rPr>
                      <w:color w:val="auto"/>
                      <w:kern w:val="0"/>
                      <w:szCs w:val="21"/>
                      <w:highlight w:val="none"/>
                    </w:rPr>
                    <w:t>《声环境质量标准》</w:t>
                  </w:r>
                  <w:r>
                    <w:rPr>
                      <w:rFonts w:hint="eastAsia"/>
                      <w:color w:val="auto"/>
                      <w:kern w:val="0"/>
                      <w:szCs w:val="21"/>
                      <w:highlight w:val="none"/>
                      <w:lang w:eastAsia="zh-CN"/>
                    </w:rPr>
                    <w:t>（</w:t>
                  </w:r>
                  <w:r>
                    <w:rPr>
                      <w:color w:val="auto"/>
                      <w:kern w:val="0"/>
                      <w:szCs w:val="21"/>
                      <w:highlight w:val="none"/>
                    </w:rPr>
                    <w:t>GB3096-2008</w:t>
                  </w:r>
                  <w:r>
                    <w:rPr>
                      <w:rFonts w:hint="eastAsia"/>
                      <w:color w:val="auto"/>
                      <w:kern w:val="0"/>
                      <w:szCs w:val="21"/>
                      <w:highlight w:val="none"/>
                      <w:lang w:eastAsia="zh-CN"/>
                    </w:rPr>
                    <w:t>）</w:t>
                  </w:r>
                </w:p>
              </w:tc>
              <w:tc>
                <w:tcPr>
                  <w:tcW w:w="635" w:type="pct"/>
                  <w:shd w:val="clear" w:color="auto" w:fill="auto"/>
                  <w:noWrap w:val="0"/>
                  <w:vAlign w:val="center"/>
                </w:tcPr>
                <w:p w14:paraId="587C6816">
                  <w:pPr>
                    <w:autoSpaceDN w:val="0"/>
                    <w:adjustRightInd w:val="0"/>
                    <w:snapToGrid w:val="0"/>
                    <w:jc w:val="center"/>
                    <w:textAlignment w:val="baseline"/>
                    <w:rPr>
                      <w:rFonts w:ascii="Times New Roman" w:hAnsi="Times New Roman" w:eastAsia="宋体" w:cs="Times New Roman"/>
                      <w:color w:val="auto"/>
                      <w:kern w:val="0"/>
                      <w:sz w:val="21"/>
                      <w:szCs w:val="21"/>
                      <w:highlight w:val="none"/>
                      <w:lang w:val="en-US" w:eastAsia="zh-CN" w:bidi="ar-SA"/>
                    </w:rPr>
                  </w:pPr>
                  <w:r>
                    <w:rPr>
                      <w:color w:val="auto"/>
                      <w:sz w:val="21"/>
                      <w:szCs w:val="21"/>
                      <w:highlight w:val="none"/>
                    </w:rPr>
                    <w:t>4a类</w:t>
                  </w:r>
                </w:p>
              </w:tc>
              <w:tc>
                <w:tcPr>
                  <w:tcW w:w="756" w:type="pct"/>
                  <w:shd w:val="clear" w:color="auto" w:fill="auto"/>
                  <w:noWrap w:val="0"/>
                  <w:vAlign w:val="center"/>
                </w:tcPr>
                <w:p w14:paraId="5E2450B2">
                  <w:pPr>
                    <w:autoSpaceDN w:val="0"/>
                    <w:adjustRightInd w:val="0"/>
                    <w:snapToGrid w:val="0"/>
                    <w:jc w:val="center"/>
                    <w:textAlignment w:val="baseline"/>
                    <w:rPr>
                      <w:rFonts w:ascii="Times New Roman" w:hAnsi="Times New Roman" w:eastAsia="宋体" w:cs="Times New Roman"/>
                      <w:color w:val="auto"/>
                      <w:kern w:val="0"/>
                      <w:sz w:val="21"/>
                      <w:szCs w:val="21"/>
                      <w:highlight w:val="none"/>
                      <w:lang w:val="en-US" w:eastAsia="zh-CN" w:bidi="ar-SA"/>
                    </w:rPr>
                  </w:pPr>
                  <w:r>
                    <w:rPr>
                      <w:color w:val="auto"/>
                      <w:kern w:val="0"/>
                      <w:sz w:val="21"/>
                      <w:szCs w:val="21"/>
                      <w:highlight w:val="none"/>
                    </w:rPr>
                    <w:t>等效连续声级Leq</w:t>
                  </w:r>
                </w:p>
              </w:tc>
              <w:tc>
                <w:tcPr>
                  <w:tcW w:w="843" w:type="pct"/>
                  <w:shd w:val="clear" w:color="auto" w:fill="auto"/>
                  <w:noWrap w:val="0"/>
                  <w:vAlign w:val="center"/>
                </w:tcPr>
                <w:p w14:paraId="4F4DF05A">
                  <w:pPr>
                    <w:adjustRightInd w:val="0"/>
                    <w:snapToGrid w:val="0"/>
                    <w:jc w:val="center"/>
                    <w:rPr>
                      <w:rFonts w:hint="eastAsia" w:eastAsia="宋体"/>
                      <w:color w:val="auto"/>
                      <w:sz w:val="21"/>
                      <w:szCs w:val="21"/>
                      <w:highlight w:val="none"/>
                      <w:lang w:eastAsia="zh-CN"/>
                    </w:rPr>
                  </w:pPr>
                  <w:r>
                    <w:rPr>
                      <w:color w:val="auto"/>
                      <w:sz w:val="21"/>
                      <w:szCs w:val="21"/>
                      <w:highlight w:val="none"/>
                    </w:rPr>
                    <w:t>昼间70dB</w:t>
                  </w:r>
                  <w:r>
                    <w:rPr>
                      <w:rFonts w:hint="eastAsia"/>
                      <w:color w:val="auto"/>
                      <w:sz w:val="21"/>
                      <w:szCs w:val="21"/>
                      <w:highlight w:val="none"/>
                      <w:lang w:eastAsia="zh-CN"/>
                    </w:rPr>
                    <w:t>(A)</w:t>
                  </w:r>
                </w:p>
                <w:p w14:paraId="1389B0A4">
                  <w:pPr>
                    <w:autoSpaceDN w:val="0"/>
                    <w:adjustRightInd w:val="0"/>
                    <w:snapToGrid w:val="0"/>
                    <w:jc w:val="center"/>
                    <w:textAlignment w:val="baseline"/>
                    <w:rPr>
                      <w:rFonts w:hint="eastAsia" w:ascii="Times New Roman" w:hAnsi="Times New Roman" w:eastAsia="宋体" w:cs="Times New Roman"/>
                      <w:color w:val="auto"/>
                      <w:kern w:val="0"/>
                      <w:sz w:val="21"/>
                      <w:szCs w:val="21"/>
                      <w:highlight w:val="none"/>
                      <w:lang w:val="en-US" w:eastAsia="zh-CN" w:bidi="ar-SA"/>
                    </w:rPr>
                  </w:pPr>
                  <w:r>
                    <w:rPr>
                      <w:color w:val="auto"/>
                      <w:sz w:val="21"/>
                      <w:szCs w:val="21"/>
                      <w:highlight w:val="none"/>
                    </w:rPr>
                    <w:t>夜间55dB</w:t>
                  </w:r>
                  <w:r>
                    <w:rPr>
                      <w:rFonts w:hint="eastAsia"/>
                      <w:color w:val="auto"/>
                      <w:sz w:val="21"/>
                      <w:szCs w:val="21"/>
                      <w:highlight w:val="none"/>
                      <w:lang w:eastAsia="zh-CN"/>
                    </w:rPr>
                    <w:t>(A)</w:t>
                  </w:r>
                </w:p>
              </w:tc>
              <w:tc>
                <w:tcPr>
                  <w:tcW w:w="1307" w:type="pct"/>
                  <w:shd w:val="clear" w:color="auto" w:fill="auto"/>
                  <w:noWrap w:val="0"/>
                  <w:vAlign w:val="center"/>
                </w:tcPr>
                <w:p w14:paraId="169742B1">
                  <w:pPr>
                    <w:autoSpaceDN w:val="0"/>
                    <w:adjustRightInd w:val="0"/>
                    <w:snapToGrid w:val="0"/>
                    <w:jc w:val="center"/>
                    <w:textAlignment w:val="baseline"/>
                    <w:rPr>
                      <w:rFonts w:ascii="Times New Roman" w:hAnsi="Times New Roman" w:eastAsia="宋体" w:cs="Times New Roman"/>
                      <w:color w:val="auto"/>
                      <w:kern w:val="0"/>
                      <w:sz w:val="21"/>
                      <w:szCs w:val="21"/>
                      <w:highlight w:val="none"/>
                      <w:lang w:val="en-US" w:eastAsia="zh-CN" w:bidi="ar-SA"/>
                    </w:rPr>
                  </w:pPr>
                  <w:r>
                    <w:rPr>
                      <w:rFonts w:hint="eastAsia"/>
                      <w:color w:val="auto"/>
                      <w:kern w:val="0"/>
                      <w:szCs w:val="21"/>
                      <w:highlight w:val="none"/>
                      <w:lang w:val="en-US" w:eastAsia="zh-CN"/>
                    </w:rPr>
                    <w:t>架空线路</w:t>
                  </w:r>
                  <w:r>
                    <w:rPr>
                      <w:color w:val="auto"/>
                      <w:kern w:val="0"/>
                      <w:szCs w:val="21"/>
                      <w:highlight w:val="none"/>
                    </w:rPr>
                    <w:t>评价范围内位于</w:t>
                  </w:r>
                  <w:r>
                    <w:rPr>
                      <w:rFonts w:hint="eastAsia"/>
                      <w:color w:val="auto"/>
                      <w:kern w:val="0"/>
                      <w:szCs w:val="21"/>
                      <w:highlight w:val="none"/>
                      <w:lang w:val="en-US" w:eastAsia="zh-CN"/>
                    </w:rPr>
                    <w:t>白沙路</w:t>
                  </w:r>
                  <w:r>
                    <w:rPr>
                      <w:color w:val="auto"/>
                      <w:kern w:val="0"/>
                      <w:szCs w:val="21"/>
                      <w:highlight w:val="none"/>
                    </w:rPr>
                    <w:t>两侧</w:t>
                  </w:r>
                  <w:r>
                    <w:rPr>
                      <w:rFonts w:hint="eastAsia"/>
                      <w:color w:val="auto"/>
                      <w:kern w:val="0"/>
                      <w:szCs w:val="21"/>
                      <w:highlight w:val="none"/>
                      <w:lang w:val="en-US" w:eastAsia="zh-CN"/>
                    </w:rPr>
                    <w:t>40m范围</w:t>
                  </w:r>
                  <w:r>
                    <w:rPr>
                      <w:color w:val="auto"/>
                      <w:kern w:val="0"/>
                      <w:szCs w:val="21"/>
                      <w:highlight w:val="none"/>
                    </w:rPr>
                    <w:t>区域</w:t>
                  </w:r>
                </w:p>
              </w:tc>
            </w:tr>
          </w:tbl>
          <w:p w14:paraId="17F12ADA">
            <w:pPr>
              <w:keepNext w:val="0"/>
              <w:keepLines w:val="0"/>
              <w:pageBreakBefore w:val="0"/>
              <w:widowControl w:val="0"/>
              <w:kinsoku/>
              <w:wordWrap/>
              <w:overflowPunct/>
              <w:topLinePunct w:val="0"/>
              <w:autoSpaceDE/>
              <w:autoSpaceDN/>
              <w:bidi w:val="0"/>
              <w:adjustRightInd/>
              <w:snapToGrid/>
              <w:spacing w:line="240" w:lineRule="auto"/>
              <w:textAlignment w:val="auto"/>
              <w:rPr>
                <w:color w:val="auto"/>
                <w:highlight w:val="none"/>
              </w:rPr>
            </w:pPr>
          </w:p>
          <w:p w14:paraId="4CAFA765">
            <w:pPr>
              <w:tabs>
                <w:tab w:val="left" w:pos="0"/>
              </w:tabs>
              <w:snapToGrid w:val="0"/>
              <w:spacing w:before="20" w:after="20" w:line="360" w:lineRule="auto"/>
              <w:rPr>
                <w:b/>
                <w:color w:val="auto"/>
                <w:sz w:val="24"/>
                <w:highlight w:val="none"/>
              </w:rPr>
            </w:pPr>
            <w:r>
              <w:rPr>
                <w:rFonts w:hint="eastAsia"/>
                <w:b/>
                <w:color w:val="auto"/>
                <w:sz w:val="24"/>
                <w:highlight w:val="none"/>
              </w:rPr>
              <w:t>2.</w:t>
            </w:r>
            <w:r>
              <w:rPr>
                <w:b/>
                <w:color w:val="auto"/>
                <w:sz w:val="24"/>
                <w:highlight w:val="none"/>
              </w:rPr>
              <w:t>污染物排放标准</w:t>
            </w:r>
          </w:p>
          <w:p w14:paraId="09B5BE2A">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color w:val="auto"/>
                <w:kern w:val="0"/>
                <w:sz w:val="24"/>
                <w:highlight w:val="none"/>
              </w:rPr>
            </w:pPr>
            <w:r>
              <w:rPr>
                <w:color w:val="auto"/>
                <w:kern w:val="0"/>
                <w:sz w:val="24"/>
                <w:highlight w:val="none"/>
              </w:rPr>
              <w:t>项目污染物排放标准详细见表3-</w:t>
            </w:r>
            <w:r>
              <w:rPr>
                <w:rFonts w:hint="eastAsia"/>
                <w:color w:val="auto"/>
                <w:kern w:val="0"/>
                <w:sz w:val="24"/>
                <w:highlight w:val="none"/>
                <w:lang w:val="en-US" w:eastAsia="zh-CN"/>
              </w:rPr>
              <w:t>4</w:t>
            </w:r>
            <w:r>
              <w:rPr>
                <w:color w:val="auto"/>
                <w:kern w:val="0"/>
                <w:sz w:val="24"/>
                <w:highlight w:val="none"/>
              </w:rPr>
              <w:t>。</w:t>
            </w:r>
          </w:p>
          <w:p w14:paraId="1C4CF706">
            <w:pPr>
              <w:pStyle w:val="23"/>
              <w:numPr>
                <w:ilvl w:val="0"/>
                <w:numId w:val="5"/>
              </w:numPr>
              <w:tabs>
                <w:tab w:val="right" w:pos="5142"/>
              </w:tabs>
              <w:ind w:left="0" w:leftChars="0" w:firstLine="0" w:firstLineChars="0"/>
              <w:jc w:val="center"/>
              <w:rPr>
                <w:b/>
                <w:bCs/>
                <w:color w:val="auto"/>
                <w:kern w:val="0"/>
                <w:sz w:val="24"/>
                <w:highlight w:val="none"/>
              </w:rPr>
            </w:pPr>
            <w:r>
              <w:rPr>
                <w:b/>
                <w:bCs/>
                <w:color w:val="auto"/>
                <w:kern w:val="0"/>
                <w:sz w:val="24"/>
                <w:highlight w:val="none"/>
              </w:rPr>
              <w:t xml:space="preserve">  项目执行的污染物排放标准明细表</w:t>
            </w:r>
          </w:p>
          <w:tbl>
            <w:tblPr>
              <w:tblStyle w:val="44"/>
              <w:tblW w:w="5000" w:type="pct"/>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2593"/>
              <w:gridCol w:w="930"/>
              <w:gridCol w:w="1528"/>
              <w:gridCol w:w="1493"/>
              <w:gridCol w:w="1451"/>
            </w:tblGrid>
            <w:tr w14:paraId="356D1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15" w:type="pct"/>
                  <w:vMerge w:val="restart"/>
                  <w:vAlign w:val="center"/>
                </w:tcPr>
                <w:p w14:paraId="4FAD69A2">
                  <w:pPr>
                    <w:autoSpaceDN w:val="0"/>
                    <w:adjustRightInd w:val="0"/>
                    <w:snapToGrid w:val="0"/>
                    <w:jc w:val="center"/>
                    <w:textAlignment w:val="baseline"/>
                    <w:rPr>
                      <w:color w:val="auto"/>
                      <w:kern w:val="0"/>
                      <w:sz w:val="21"/>
                      <w:szCs w:val="21"/>
                      <w:highlight w:val="none"/>
                    </w:rPr>
                  </w:pPr>
                  <w:r>
                    <w:rPr>
                      <w:color w:val="auto"/>
                      <w:kern w:val="0"/>
                      <w:sz w:val="21"/>
                      <w:szCs w:val="21"/>
                      <w:highlight w:val="none"/>
                    </w:rPr>
                    <w:t>要素</w:t>
                  </w:r>
                </w:p>
                <w:p w14:paraId="4ABA5E7E">
                  <w:pPr>
                    <w:autoSpaceDN w:val="0"/>
                    <w:adjustRightInd w:val="0"/>
                    <w:snapToGrid w:val="0"/>
                    <w:jc w:val="center"/>
                    <w:textAlignment w:val="baseline"/>
                    <w:rPr>
                      <w:color w:val="auto"/>
                      <w:kern w:val="0"/>
                      <w:sz w:val="21"/>
                      <w:szCs w:val="21"/>
                      <w:highlight w:val="none"/>
                    </w:rPr>
                  </w:pPr>
                  <w:r>
                    <w:rPr>
                      <w:color w:val="auto"/>
                      <w:kern w:val="0"/>
                      <w:sz w:val="21"/>
                      <w:szCs w:val="21"/>
                      <w:highlight w:val="none"/>
                    </w:rPr>
                    <w:t>分类</w:t>
                  </w:r>
                </w:p>
              </w:tc>
              <w:tc>
                <w:tcPr>
                  <w:tcW w:w="1487" w:type="pct"/>
                  <w:vMerge w:val="restart"/>
                  <w:vAlign w:val="center"/>
                </w:tcPr>
                <w:p w14:paraId="6AC7DE2A">
                  <w:pPr>
                    <w:autoSpaceDN w:val="0"/>
                    <w:adjustRightInd w:val="0"/>
                    <w:snapToGrid w:val="0"/>
                    <w:jc w:val="center"/>
                    <w:textAlignment w:val="baseline"/>
                    <w:rPr>
                      <w:color w:val="auto"/>
                      <w:kern w:val="0"/>
                      <w:sz w:val="21"/>
                      <w:szCs w:val="21"/>
                      <w:highlight w:val="none"/>
                    </w:rPr>
                  </w:pPr>
                  <w:r>
                    <w:rPr>
                      <w:color w:val="auto"/>
                      <w:kern w:val="0"/>
                      <w:sz w:val="21"/>
                      <w:szCs w:val="21"/>
                      <w:highlight w:val="none"/>
                    </w:rPr>
                    <w:t>标准名称</w:t>
                  </w:r>
                </w:p>
              </w:tc>
              <w:tc>
                <w:tcPr>
                  <w:tcW w:w="533" w:type="pct"/>
                  <w:vMerge w:val="restart"/>
                  <w:vAlign w:val="center"/>
                </w:tcPr>
                <w:p w14:paraId="10A2DBA9">
                  <w:pPr>
                    <w:autoSpaceDN w:val="0"/>
                    <w:adjustRightInd w:val="0"/>
                    <w:snapToGrid w:val="0"/>
                    <w:jc w:val="center"/>
                    <w:textAlignment w:val="baseline"/>
                    <w:rPr>
                      <w:color w:val="auto"/>
                      <w:kern w:val="0"/>
                      <w:sz w:val="21"/>
                      <w:szCs w:val="21"/>
                      <w:highlight w:val="none"/>
                    </w:rPr>
                  </w:pPr>
                  <w:r>
                    <w:rPr>
                      <w:color w:val="auto"/>
                      <w:kern w:val="0"/>
                      <w:sz w:val="21"/>
                      <w:szCs w:val="21"/>
                      <w:highlight w:val="none"/>
                    </w:rPr>
                    <w:t>适用</w:t>
                  </w:r>
                </w:p>
                <w:p w14:paraId="52D1932C">
                  <w:pPr>
                    <w:autoSpaceDN w:val="0"/>
                    <w:adjustRightInd w:val="0"/>
                    <w:snapToGrid w:val="0"/>
                    <w:jc w:val="center"/>
                    <w:textAlignment w:val="baseline"/>
                    <w:rPr>
                      <w:color w:val="auto"/>
                      <w:kern w:val="0"/>
                      <w:sz w:val="21"/>
                      <w:szCs w:val="21"/>
                      <w:highlight w:val="none"/>
                    </w:rPr>
                  </w:pPr>
                  <w:r>
                    <w:rPr>
                      <w:color w:val="auto"/>
                      <w:kern w:val="0"/>
                      <w:sz w:val="21"/>
                      <w:szCs w:val="21"/>
                      <w:highlight w:val="none"/>
                    </w:rPr>
                    <w:t>类别</w:t>
                  </w:r>
                </w:p>
              </w:tc>
              <w:tc>
                <w:tcPr>
                  <w:tcW w:w="1731" w:type="pct"/>
                  <w:gridSpan w:val="2"/>
                  <w:vAlign w:val="center"/>
                </w:tcPr>
                <w:p w14:paraId="4D07E257">
                  <w:pPr>
                    <w:autoSpaceDN w:val="0"/>
                    <w:adjustRightInd w:val="0"/>
                    <w:snapToGrid w:val="0"/>
                    <w:jc w:val="center"/>
                    <w:textAlignment w:val="baseline"/>
                    <w:rPr>
                      <w:color w:val="auto"/>
                      <w:kern w:val="0"/>
                      <w:sz w:val="21"/>
                      <w:szCs w:val="21"/>
                      <w:highlight w:val="none"/>
                    </w:rPr>
                  </w:pPr>
                  <w:r>
                    <w:rPr>
                      <w:color w:val="auto"/>
                      <w:kern w:val="0"/>
                      <w:sz w:val="21"/>
                      <w:szCs w:val="21"/>
                      <w:highlight w:val="none"/>
                    </w:rPr>
                    <w:t>标准值</w:t>
                  </w:r>
                </w:p>
              </w:tc>
              <w:tc>
                <w:tcPr>
                  <w:tcW w:w="832" w:type="pct"/>
                  <w:vMerge w:val="restart"/>
                  <w:vAlign w:val="center"/>
                </w:tcPr>
                <w:p w14:paraId="4282F7E6">
                  <w:pPr>
                    <w:autoSpaceDN w:val="0"/>
                    <w:adjustRightInd w:val="0"/>
                    <w:snapToGrid w:val="0"/>
                    <w:jc w:val="center"/>
                    <w:textAlignment w:val="baseline"/>
                    <w:rPr>
                      <w:color w:val="auto"/>
                      <w:kern w:val="0"/>
                      <w:sz w:val="21"/>
                      <w:szCs w:val="21"/>
                      <w:highlight w:val="none"/>
                    </w:rPr>
                  </w:pPr>
                  <w:r>
                    <w:rPr>
                      <w:color w:val="auto"/>
                      <w:kern w:val="0"/>
                      <w:sz w:val="21"/>
                      <w:szCs w:val="21"/>
                      <w:highlight w:val="none"/>
                    </w:rPr>
                    <w:t>评价对象</w:t>
                  </w:r>
                </w:p>
              </w:tc>
            </w:tr>
            <w:tr w14:paraId="280BE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15" w:type="pct"/>
                  <w:vMerge w:val="continue"/>
                  <w:vAlign w:val="center"/>
                </w:tcPr>
                <w:p w14:paraId="357E1979">
                  <w:pPr>
                    <w:autoSpaceDN w:val="0"/>
                    <w:adjustRightInd w:val="0"/>
                    <w:snapToGrid w:val="0"/>
                    <w:jc w:val="center"/>
                    <w:textAlignment w:val="baseline"/>
                    <w:rPr>
                      <w:color w:val="auto"/>
                      <w:kern w:val="0"/>
                      <w:sz w:val="21"/>
                      <w:szCs w:val="21"/>
                      <w:highlight w:val="none"/>
                    </w:rPr>
                  </w:pPr>
                </w:p>
              </w:tc>
              <w:tc>
                <w:tcPr>
                  <w:tcW w:w="1487" w:type="pct"/>
                  <w:vMerge w:val="continue"/>
                  <w:vAlign w:val="center"/>
                </w:tcPr>
                <w:p w14:paraId="41A40FD2">
                  <w:pPr>
                    <w:autoSpaceDN w:val="0"/>
                    <w:adjustRightInd w:val="0"/>
                    <w:snapToGrid w:val="0"/>
                    <w:jc w:val="center"/>
                    <w:textAlignment w:val="baseline"/>
                    <w:rPr>
                      <w:color w:val="auto"/>
                      <w:kern w:val="0"/>
                      <w:sz w:val="21"/>
                      <w:szCs w:val="21"/>
                      <w:highlight w:val="none"/>
                    </w:rPr>
                  </w:pPr>
                </w:p>
              </w:tc>
              <w:tc>
                <w:tcPr>
                  <w:tcW w:w="533" w:type="pct"/>
                  <w:vMerge w:val="continue"/>
                  <w:vAlign w:val="center"/>
                </w:tcPr>
                <w:p w14:paraId="4DFFD576">
                  <w:pPr>
                    <w:autoSpaceDN w:val="0"/>
                    <w:adjustRightInd w:val="0"/>
                    <w:snapToGrid w:val="0"/>
                    <w:jc w:val="center"/>
                    <w:textAlignment w:val="baseline"/>
                    <w:rPr>
                      <w:color w:val="auto"/>
                      <w:kern w:val="0"/>
                      <w:sz w:val="21"/>
                      <w:szCs w:val="21"/>
                      <w:highlight w:val="none"/>
                    </w:rPr>
                  </w:pPr>
                </w:p>
              </w:tc>
              <w:tc>
                <w:tcPr>
                  <w:tcW w:w="876" w:type="pct"/>
                  <w:vAlign w:val="center"/>
                </w:tcPr>
                <w:p w14:paraId="6AACF877">
                  <w:pPr>
                    <w:autoSpaceDN w:val="0"/>
                    <w:adjustRightInd w:val="0"/>
                    <w:snapToGrid w:val="0"/>
                    <w:jc w:val="center"/>
                    <w:textAlignment w:val="baseline"/>
                    <w:rPr>
                      <w:color w:val="auto"/>
                      <w:kern w:val="0"/>
                      <w:sz w:val="21"/>
                      <w:szCs w:val="21"/>
                      <w:highlight w:val="none"/>
                    </w:rPr>
                  </w:pPr>
                  <w:r>
                    <w:rPr>
                      <w:color w:val="auto"/>
                      <w:kern w:val="0"/>
                      <w:sz w:val="21"/>
                      <w:szCs w:val="21"/>
                      <w:highlight w:val="none"/>
                    </w:rPr>
                    <w:t>参数名称</w:t>
                  </w:r>
                </w:p>
              </w:tc>
              <w:tc>
                <w:tcPr>
                  <w:tcW w:w="855" w:type="pct"/>
                  <w:vAlign w:val="center"/>
                </w:tcPr>
                <w:p w14:paraId="08C4DCF4">
                  <w:pPr>
                    <w:autoSpaceDN w:val="0"/>
                    <w:adjustRightInd w:val="0"/>
                    <w:snapToGrid w:val="0"/>
                    <w:jc w:val="center"/>
                    <w:textAlignment w:val="baseline"/>
                    <w:rPr>
                      <w:color w:val="auto"/>
                      <w:kern w:val="0"/>
                      <w:sz w:val="21"/>
                      <w:szCs w:val="21"/>
                      <w:highlight w:val="none"/>
                    </w:rPr>
                  </w:pPr>
                  <w:r>
                    <w:rPr>
                      <w:color w:val="auto"/>
                      <w:kern w:val="0"/>
                      <w:sz w:val="21"/>
                      <w:szCs w:val="21"/>
                      <w:highlight w:val="none"/>
                    </w:rPr>
                    <w:t>限值</w:t>
                  </w:r>
                </w:p>
              </w:tc>
              <w:tc>
                <w:tcPr>
                  <w:tcW w:w="832" w:type="pct"/>
                  <w:vMerge w:val="continue"/>
                  <w:vAlign w:val="center"/>
                </w:tcPr>
                <w:p w14:paraId="035D2974">
                  <w:pPr>
                    <w:autoSpaceDN w:val="0"/>
                    <w:adjustRightInd w:val="0"/>
                    <w:snapToGrid w:val="0"/>
                    <w:jc w:val="center"/>
                    <w:rPr>
                      <w:color w:val="auto"/>
                      <w:sz w:val="21"/>
                      <w:szCs w:val="21"/>
                      <w:highlight w:val="none"/>
                    </w:rPr>
                  </w:pPr>
                </w:p>
              </w:tc>
            </w:tr>
            <w:tr w14:paraId="1DD4F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15" w:type="pct"/>
                  <w:vAlign w:val="center"/>
                </w:tcPr>
                <w:p w14:paraId="6C6CAA28">
                  <w:pPr>
                    <w:autoSpaceDN w:val="0"/>
                    <w:adjustRightInd w:val="0"/>
                    <w:snapToGrid w:val="0"/>
                    <w:jc w:val="center"/>
                    <w:textAlignment w:val="baseline"/>
                    <w:rPr>
                      <w:color w:val="auto"/>
                      <w:kern w:val="0"/>
                      <w:sz w:val="21"/>
                      <w:szCs w:val="21"/>
                      <w:highlight w:val="none"/>
                    </w:rPr>
                  </w:pPr>
                  <w:r>
                    <w:rPr>
                      <w:color w:val="auto"/>
                      <w:kern w:val="0"/>
                      <w:sz w:val="21"/>
                      <w:szCs w:val="21"/>
                      <w:highlight w:val="none"/>
                    </w:rPr>
                    <w:t>施工噪声</w:t>
                  </w:r>
                </w:p>
              </w:tc>
              <w:tc>
                <w:tcPr>
                  <w:tcW w:w="1487" w:type="pct"/>
                  <w:vAlign w:val="center"/>
                </w:tcPr>
                <w:p w14:paraId="1FC8BA24">
                  <w:pPr>
                    <w:autoSpaceDN w:val="0"/>
                    <w:adjustRightInd w:val="0"/>
                    <w:snapToGrid w:val="0"/>
                    <w:jc w:val="center"/>
                    <w:textAlignment w:val="baseline"/>
                    <w:rPr>
                      <w:color w:val="auto"/>
                      <w:kern w:val="0"/>
                      <w:sz w:val="21"/>
                      <w:szCs w:val="21"/>
                      <w:highlight w:val="none"/>
                    </w:rPr>
                  </w:pPr>
                  <w:r>
                    <w:rPr>
                      <w:rFonts w:hint="eastAsia"/>
                      <w:color w:val="auto"/>
                      <w:kern w:val="0"/>
                      <w:sz w:val="21"/>
                      <w:szCs w:val="21"/>
                      <w:highlight w:val="none"/>
                      <w:lang w:eastAsia="zh-CN"/>
                    </w:rPr>
                    <w:t>《</w:t>
                  </w:r>
                  <w:r>
                    <w:rPr>
                      <w:rFonts w:hint="eastAsia"/>
                      <w:color w:val="auto"/>
                      <w:kern w:val="0"/>
                      <w:sz w:val="21"/>
                      <w:szCs w:val="21"/>
                      <w:highlight w:val="none"/>
                    </w:rPr>
                    <w:t>建筑施工噪声排放标准</w:t>
                  </w:r>
                  <w:r>
                    <w:rPr>
                      <w:rFonts w:hint="eastAsia"/>
                      <w:color w:val="auto"/>
                      <w:kern w:val="0"/>
                      <w:sz w:val="21"/>
                      <w:szCs w:val="21"/>
                      <w:highlight w:val="none"/>
                      <w:lang w:eastAsia="zh-CN"/>
                    </w:rPr>
                    <w:t>》</w:t>
                  </w:r>
                  <w:r>
                    <w:rPr>
                      <w:rFonts w:hint="eastAsia"/>
                      <w:color w:val="auto"/>
                      <w:kern w:val="0"/>
                      <w:sz w:val="21"/>
                      <w:szCs w:val="21"/>
                      <w:highlight w:val="none"/>
                    </w:rPr>
                    <w:t>（</w:t>
                  </w:r>
                  <w:r>
                    <w:rPr>
                      <w:rFonts w:hint="eastAsia"/>
                      <w:color w:val="auto"/>
                      <w:kern w:val="0"/>
                      <w:sz w:val="21"/>
                      <w:szCs w:val="21"/>
                      <w:highlight w:val="none"/>
                      <w:lang w:eastAsia="zh-CN"/>
                    </w:rPr>
                    <w:t xml:space="preserve">GB </w:t>
                  </w:r>
                  <w:r>
                    <w:rPr>
                      <w:rFonts w:hint="eastAsia"/>
                      <w:color w:val="auto"/>
                      <w:kern w:val="0"/>
                      <w:sz w:val="21"/>
                      <w:szCs w:val="21"/>
                      <w:highlight w:val="none"/>
                    </w:rPr>
                    <w:t>12523-2025）</w:t>
                  </w:r>
                </w:p>
              </w:tc>
              <w:tc>
                <w:tcPr>
                  <w:tcW w:w="533" w:type="pct"/>
                  <w:vAlign w:val="center"/>
                </w:tcPr>
                <w:p w14:paraId="7299C96C">
                  <w:pPr>
                    <w:autoSpaceDN w:val="0"/>
                    <w:adjustRightInd w:val="0"/>
                    <w:snapToGrid w:val="0"/>
                    <w:jc w:val="center"/>
                    <w:textAlignment w:val="baseline"/>
                    <w:rPr>
                      <w:color w:val="auto"/>
                      <w:kern w:val="0"/>
                      <w:sz w:val="21"/>
                      <w:szCs w:val="21"/>
                      <w:highlight w:val="none"/>
                    </w:rPr>
                  </w:pPr>
                  <w:r>
                    <w:rPr>
                      <w:color w:val="auto"/>
                      <w:kern w:val="0"/>
                      <w:sz w:val="21"/>
                      <w:szCs w:val="21"/>
                      <w:highlight w:val="none"/>
                    </w:rPr>
                    <w:t>施工</w:t>
                  </w:r>
                </w:p>
                <w:p w14:paraId="10D125FB">
                  <w:pPr>
                    <w:autoSpaceDN w:val="0"/>
                    <w:adjustRightInd w:val="0"/>
                    <w:snapToGrid w:val="0"/>
                    <w:jc w:val="center"/>
                    <w:textAlignment w:val="baseline"/>
                    <w:rPr>
                      <w:color w:val="auto"/>
                      <w:kern w:val="0"/>
                      <w:sz w:val="21"/>
                      <w:szCs w:val="21"/>
                      <w:highlight w:val="none"/>
                    </w:rPr>
                  </w:pPr>
                  <w:r>
                    <w:rPr>
                      <w:color w:val="auto"/>
                      <w:kern w:val="0"/>
                      <w:sz w:val="21"/>
                      <w:szCs w:val="21"/>
                      <w:highlight w:val="none"/>
                    </w:rPr>
                    <w:t>场界</w:t>
                  </w:r>
                </w:p>
              </w:tc>
              <w:tc>
                <w:tcPr>
                  <w:tcW w:w="876" w:type="pct"/>
                  <w:vAlign w:val="center"/>
                </w:tcPr>
                <w:p w14:paraId="42AAB778">
                  <w:pPr>
                    <w:autoSpaceDN w:val="0"/>
                    <w:adjustRightInd w:val="0"/>
                    <w:snapToGrid w:val="0"/>
                    <w:jc w:val="center"/>
                    <w:textAlignment w:val="baseline"/>
                    <w:rPr>
                      <w:color w:val="auto"/>
                      <w:kern w:val="0"/>
                      <w:sz w:val="21"/>
                      <w:szCs w:val="21"/>
                      <w:highlight w:val="none"/>
                    </w:rPr>
                  </w:pPr>
                  <w:r>
                    <w:rPr>
                      <w:color w:val="auto"/>
                      <w:kern w:val="0"/>
                      <w:sz w:val="21"/>
                      <w:szCs w:val="21"/>
                      <w:highlight w:val="none"/>
                    </w:rPr>
                    <w:t>噪声</w:t>
                  </w:r>
                </w:p>
              </w:tc>
              <w:tc>
                <w:tcPr>
                  <w:tcW w:w="855" w:type="pct"/>
                  <w:vAlign w:val="center"/>
                </w:tcPr>
                <w:p w14:paraId="2A4D53A8">
                  <w:pPr>
                    <w:autoSpaceDN w:val="0"/>
                    <w:adjustRightInd w:val="0"/>
                    <w:snapToGrid w:val="0"/>
                    <w:jc w:val="center"/>
                    <w:textAlignment w:val="baseline"/>
                    <w:rPr>
                      <w:rFonts w:hint="eastAsia" w:eastAsia="宋体"/>
                      <w:color w:val="auto"/>
                      <w:kern w:val="0"/>
                      <w:sz w:val="21"/>
                      <w:szCs w:val="21"/>
                      <w:highlight w:val="none"/>
                      <w:lang w:eastAsia="zh-CN"/>
                    </w:rPr>
                  </w:pPr>
                  <w:r>
                    <w:rPr>
                      <w:color w:val="auto"/>
                      <w:kern w:val="0"/>
                      <w:sz w:val="21"/>
                      <w:szCs w:val="21"/>
                      <w:highlight w:val="none"/>
                    </w:rPr>
                    <w:t>昼间70dB</w:t>
                  </w:r>
                  <w:r>
                    <w:rPr>
                      <w:rFonts w:hint="eastAsia"/>
                      <w:color w:val="auto"/>
                      <w:kern w:val="0"/>
                      <w:sz w:val="21"/>
                      <w:szCs w:val="21"/>
                      <w:highlight w:val="none"/>
                      <w:lang w:eastAsia="zh-CN"/>
                    </w:rPr>
                    <w:t>(A)</w:t>
                  </w:r>
                </w:p>
                <w:p w14:paraId="738F1E6F">
                  <w:pPr>
                    <w:autoSpaceDN w:val="0"/>
                    <w:adjustRightInd w:val="0"/>
                    <w:snapToGrid w:val="0"/>
                    <w:jc w:val="center"/>
                    <w:textAlignment w:val="baseline"/>
                    <w:rPr>
                      <w:rFonts w:hint="eastAsia" w:eastAsia="宋体"/>
                      <w:color w:val="auto"/>
                      <w:kern w:val="0"/>
                      <w:sz w:val="21"/>
                      <w:szCs w:val="21"/>
                      <w:highlight w:val="none"/>
                      <w:lang w:eastAsia="zh-CN"/>
                    </w:rPr>
                  </w:pPr>
                  <w:r>
                    <w:rPr>
                      <w:color w:val="auto"/>
                      <w:kern w:val="0"/>
                      <w:sz w:val="21"/>
                      <w:szCs w:val="21"/>
                      <w:highlight w:val="none"/>
                    </w:rPr>
                    <w:t>夜间55dB</w:t>
                  </w:r>
                  <w:r>
                    <w:rPr>
                      <w:rFonts w:hint="eastAsia"/>
                      <w:color w:val="auto"/>
                      <w:kern w:val="0"/>
                      <w:sz w:val="21"/>
                      <w:szCs w:val="21"/>
                      <w:highlight w:val="none"/>
                      <w:lang w:eastAsia="zh-CN"/>
                    </w:rPr>
                    <w:t>(A)</w:t>
                  </w:r>
                </w:p>
              </w:tc>
              <w:tc>
                <w:tcPr>
                  <w:tcW w:w="832" w:type="pct"/>
                  <w:vAlign w:val="center"/>
                </w:tcPr>
                <w:p w14:paraId="548F7053">
                  <w:pPr>
                    <w:autoSpaceDN w:val="0"/>
                    <w:adjustRightInd w:val="0"/>
                    <w:snapToGrid w:val="0"/>
                    <w:jc w:val="center"/>
                    <w:textAlignment w:val="baseline"/>
                    <w:rPr>
                      <w:color w:val="auto"/>
                      <w:kern w:val="0"/>
                      <w:sz w:val="21"/>
                      <w:szCs w:val="21"/>
                      <w:highlight w:val="none"/>
                    </w:rPr>
                  </w:pPr>
                  <w:r>
                    <w:rPr>
                      <w:color w:val="auto"/>
                      <w:kern w:val="0"/>
                      <w:sz w:val="21"/>
                      <w:szCs w:val="21"/>
                      <w:highlight w:val="none"/>
                    </w:rPr>
                    <w:t>施工期场界噪声</w:t>
                  </w:r>
                </w:p>
              </w:tc>
            </w:tr>
            <w:tr w14:paraId="24031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15" w:type="pct"/>
                  <w:shd w:val="clear" w:color="auto" w:fill="auto"/>
                  <w:vAlign w:val="center"/>
                </w:tcPr>
                <w:p w14:paraId="12B8806D">
                  <w:pPr>
                    <w:autoSpaceDN w:val="0"/>
                    <w:adjustRightInd w:val="0"/>
                    <w:snapToGrid w:val="0"/>
                    <w:jc w:val="center"/>
                    <w:textAlignment w:val="baseline"/>
                    <w:rPr>
                      <w:rFonts w:hint="default" w:ascii="Times New Roman" w:hAnsi="Times New Roman" w:eastAsia="宋体" w:cs="Times New Roman"/>
                      <w:strike w:val="0"/>
                      <w:dstrike w:val="0"/>
                      <w:color w:val="auto"/>
                      <w:kern w:val="0"/>
                      <w:sz w:val="21"/>
                      <w:szCs w:val="21"/>
                      <w:highlight w:val="none"/>
                      <w:u w:val="none"/>
                      <w:lang w:val="en-US" w:eastAsia="zh-CN" w:bidi="ar-SA"/>
                    </w:rPr>
                  </w:pPr>
                  <w:r>
                    <w:rPr>
                      <w:rFonts w:hint="eastAsia"/>
                      <w:strike w:val="0"/>
                      <w:dstrike w:val="0"/>
                      <w:color w:val="auto"/>
                      <w:kern w:val="0"/>
                      <w:sz w:val="21"/>
                      <w:szCs w:val="21"/>
                      <w:highlight w:val="none"/>
                      <w:u w:val="none"/>
                      <w:lang w:val="en-US" w:eastAsia="zh-CN"/>
                    </w:rPr>
                    <w:t>固体废物</w:t>
                  </w:r>
                </w:p>
              </w:tc>
              <w:tc>
                <w:tcPr>
                  <w:tcW w:w="3752" w:type="pct"/>
                  <w:gridSpan w:val="4"/>
                  <w:shd w:val="clear" w:color="auto" w:fill="auto"/>
                  <w:vAlign w:val="center"/>
                </w:tcPr>
                <w:p w14:paraId="0120CBCC">
                  <w:pPr>
                    <w:autoSpaceDN w:val="0"/>
                    <w:adjustRightInd w:val="0"/>
                    <w:snapToGrid w:val="0"/>
                    <w:jc w:val="center"/>
                    <w:textAlignment w:val="baseline"/>
                    <w:rPr>
                      <w:rFonts w:hint="eastAsia" w:ascii="Times New Roman" w:hAnsi="Times New Roman" w:eastAsia="宋体" w:cs="Times New Roman"/>
                      <w:b w:val="0"/>
                      <w:bCs w:val="0"/>
                      <w:strike w:val="0"/>
                      <w:dstrike w:val="0"/>
                      <w:color w:val="auto"/>
                      <w:kern w:val="2"/>
                      <w:sz w:val="21"/>
                      <w:szCs w:val="21"/>
                      <w:highlight w:val="none"/>
                      <w:u w:val="none"/>
                      <w:vertAlign w:val="baseline"/>
                      <w:lang w:val="en-US" w:eastAsia="zh-CN" w:bidi="ar-SA"/>
                    </w:rPr>
                  </w:pPr>
                  <w:r>
                    <w:rPr>
                      <w:rFonts w:hint="eastAsia" w:ascii="Times New Roman" w:hAnsi="Times New Roman" w:eastAsia="宋体" w:cs="Times New Roman"/>
                      <w:b w:val="0"/>
                      <w:bCs w:val="0"/>
                      <w:strike w:val="0"/>
                      <w:dstrike w:val="0"/>
                      <w:color w:val="auto"/>
                      <w:sz w:val="21"/>
                      <w:szCs w:val="21"/>
                      <w:highlight w:val="none"/>
                      <w:u w:val="none"/>
                      <w:vertAlign w:val="baseline"/>
                      <w:lang w:val="en-US" w:eastAsia="zh-CN"/>
                    </w:rPr>
                    <w:t>《一般工业固体废物贮存和填埋污染控制标准》（</w:t>
                  </w:r>
                  <w:r>
                    <w:rPr>
                      <w:rFonts w:hint="eastAsia" w:cs="Times New Roman"/>
                      <w:b w:val="0"/>
                      <w:bCs w:val="0"/>
                      <w:strike w:val="0"/>
                      <w:dstrike w:val="0"/>
                      <w:color w:val="auto"/>
                      <w:sz w:val="21"/>
                      <w:szCs w:val="21"/>
                      <w:highlight w:val="none"/>
                      <w:u w:val="none"/>
                      <w:vertAlign w:val="baseline"/>
                      <w:lang w:val="en-US" w:eastAsia="zh-CN"/>
                    </w:rPr>
                    <w:t xml:space="preserve">GB </w:t>
                  </w:r>
                  <w:r>
                    <w:rPr>
                      <w:rFonts w:hint="eastAsia" w:ascii="Times New Roman" w:hAnsi="Times New Roman" w:eastAsia="宋体" w:cs="Times New Roman"/>
                      <w:b w:val="0"/>
                      <w:bCs w:val="0"/>
                      <w:strike w:val="0"/>
                      <w:dstrike w:val="0"/>
                      <w:color w:val="auto"/>
                      <w:sz w:val="21"/>
                      <w:szCs w:val="21"/>
                      <w:highlight w:val="none"/>
                      <w:u w:val="none"/>
                      <w:vertAlign w:val="baseline"/>
                      <w:lang w:val="en-US" w:eastAsia="zh-CN"/>
                    </w:rPr>
                    <w:t>18599-2020）</w:t>
                  </w:r>
                </w:p>
              </w:tc>
              <w:tc>
                <w:tcPr>
                  <w:tcW w:w="832" w:type="pct"/>
                  <w:shd w:val="clear" w:color="auto" w:fill="auto"/>
                  <w:vAlign w:val="center"/>
                </w:tcPr>
                <w:p w14:paraId="6BFB0CCE">
                  <w:pPr>
                    <w:autoSpaceDN w:val="0"/>
                    <w:adjustRightInd w:val="0"/>
                    <w:snapToGrid w:val="0"/>
                    <w:jc w:val="center"/>
                    <w:textAlignment w:val="baseline"/>
                    <w:rPr>
                      <w:rFonts w:hint="eastAsia" w:ascii="Times New Roman" w:hAnsi="Times New Roman" w:eastAsia="宋体" w:cs="Times New Roman"/>
                      <w:strike w:val="0"/>
                      <w:dstrike w:val="0"/>
                      <w:color w:val="auto"/>
                      <w:kern w:val="0"/>
                      <w:sz w:val="21"/>
                      <w:szCs w:val="21"/>
                      <w:highlight w:val="none"/>
                      <w:u w:val="none"/>
                      <w:lang w:val="en-US" w:eastAsia="zh-CN" w:bidi="ar-SA"/>
                    </w:rPr>
                  </w:pPr>
                  <w:r>
                    <w:rPr>
                      <w:rFonts w:hint="eastAsia"/>
                      <w:strike w:val="0"/>
                      <w:dstrike w:val="0"/>
                      <w:color w:val="auto"/>
                      <w:kern w:val="0"/>
                      <w:sz w:val="21"/>
                      <w:szCs w:val="21"/>
                      <w:highlight w:val="none"/>
                      <w:u w:val="none"/>
                      <w:lang w:val="en-US" w:eastAsia="zh-CN"/>
                    </w:rPr>
                    <w:t>一般固废</w:t>
                  </w:r>
                </w:p>
              </w:tc>
            </w:tr>
          </w:tbl>
          <w:p w14:paraId="523CF0B9">
            <w:pPr>
              <w:keepNext w:val="0"/>
              <w:keepLines w:val="0"/>
              <w:pageBreakBefore w:val="0"/>
              <w:widowControl w:val="0"/>
              <w:kinsoku/>
              <w:wordWrap/>
              <w:overflowPunct/>
              <w:topLinePunct w:val="0"/>
              <w:autoSpaceDE/>
              <w:autoSpaceDN/>
              <w:bidi w:val="0"/>
              <w:spacing w:line="336" w:lineRule="auto"/>
              <w:ind w:firstLine="480" w:firstLineChars="200"/>
              <w:textAlignment w:val="auto"/>
              <w:rPr>
                <w:rFonts w:hint="eastAsia" w:ascii="Times New Roman" w:hAnsi="Times New Roman" w:eastAsia="宋体" w:cs="Times New Roman"/>
                <w:color w:val="auto"/>
                <w:kern w:val="0"/>
                <w:sz w:val="24"/>
                <w:highlight w:val="none"/>
                <w:u w:val="none"/>
              </w:rPr>
            </w:pPr>
            <w:r>
              <w:rPr>
                <w:rFonts w:hint="eastAsia"/>
                <w:bCs/>
                <w:color w:val="auto"/>
                <w:sz w:val="24"/>
                <w:highlight w:val="none"/>
                <w:lang w:val="en-US" w:eastAsia="zh-CN"/>
              </w:rPr>
              <w:t>线路工程</w:t>
            </w:r>
            <w:r>
              <w:rPr>
                <w:rFonts w:hint="eastAsia" w:ascii="Times New Roman" w:hAnsi="Times New Roman" w:eastAsia="宋体" w:cs="Times New Roman"/>
                <w:color w:val="auto"/>
                <w:kern w:val="0"/>
                <w:sz w:val="24"/>
                <w:highlight w:val="none"/>
                <w:u w:val="none"/>
              </w:rPr>
              <w:t>施工期生活</w:t>
            </w:r>
            <w:r>
              <w:rPr>
                <w:rFonts w:hint="eastAsia" w:ascii="Times New Roman" w:hAnsi="Times New Roman" w:eastAsia="宋体" w:cs="Times New Roman"/>
                <w:color w:val="auto"/>
                <w:kern w:val="0"/>
                <w:sz w:val="24"/>
                <w:highlight w:val="none"/>
                <w:u w:val="none"/>
                <w:lang w:val="en-US" w:eastAsia="zh-CN"/>
              </w:rPr>
              <w:t>污水纳入</w:t>
            </w:r>
            <w:r>
              <w:rPr>
                <w:rFonts w:hint="eastAsia" w:ascii="Times New Roman" w:hAnsi="Times New Roman" w:eastAsia="宋体" w:cs="Times New Roman"/>
                <w:color w:val="auto"/>
                <w:kern w:val="0"/>
                <w:sz w:val="24"/>
                <w:highlight w:val="none"/>
                <w:u w:val="none"/>
              </w:rPr>
              <w:t>周边</w:t>
            </w:r>
            <w:r>
              <w:rPr>
                <w:rFonts w:hint="eastAsia" w:cs="Times New Roman"/>
                <w:color w:val="auto"/>
                <w:kern w:val="0"/>
                <w:sz w:val="24"/>
                <w:highlight w:val="none"/>
                <w:u w:val="none"/>
                <w:lang w:val="en-US" w:eastAsia="zh-CN"/>
              </w:rPr>
              <w:t>居民区</w:t>
            </w:r>
            <w:r>
              <w:rPr>
                <w:rFonts w:hint="eastAsia" w:ascii="Times New Roman" w:hAnsi="Times New Roman" w:eastAsia="宋体" w:cs="Times New Roman"/>
                <w:color w:val="auto"/>
                <w:kern w:val="0"/>
                <w:sz w:val="24"/>
                <w:highlight w:val="none"/>
                <w:u w:val="none"/>
              </w:rPr>
              <w:t>现有</w:t>
            </w:r>
            <w:r>
              <w:rPr>
                <w:rFonts w:hint="eastAsia" w:ascii="Times New Roman" w:hAnsi="Times New Roman" w:eastAsia="宋体" w:cs="Times New Roman"/>
                <w:color w:val="auto"/>
                <w:kern w:val="0"/>
                <w:sz w:val="24"/>
                <w:highlight w:val="none"/>
                <w:u w:val="none"/>
                <w:lang w:val="en-US" w:eastAsia="zh-CN"/>
              </w:rPr>
              <w:t>污水处理</w:t>
            </w:r>
            <w:r>
              <w:rPr>
                <w:rFonts w:hint="eastAsia" w:ascii="Times New Roman" w:hAnsi="Times New Roman" w:eastAsia="宋体" w:cs="Times New Roman"/>
                <w:color w:val="auto"/>
                <w:kern w:val="0"/>
                <w:sz w:val="24"/>
                <w:highlight w:val="none"/>
                <w:u w:val="none"/>
              </w:rPr>
              <w:t>设施处理，不外排；施工废水经</w:t>
            </w:r>
            <w:r>
              <w:rPr>
                <w:rFonts w:hint="eastAsia" w:ascii="Times New Roman" w:hAnsi="Times New Roman" w:eastAsia="宋体" w:cs="Times New Roman"/>
                <w:color w:val="auto"/>
                <w:kern w:val="0"/>
                <w:sz w:val="24"/>
                <w:highlight w:val="none"/>
                <w:u w:val="none"/>
                <w:lang w:val="en-US" w:eastAsia="zh-CN"/>
              </w:rPr>
              <w:t>临时沉砂池</w:t>
            </w:r>
            <w:r>
              <w:rPr>
                <w:rFonts w:hint="eastAsia" w:ascii="Times New Roman" w:hAnsi="Times New Roman" w:eastAsia="宋体" w:cs="Times New Roman"/>
                <w:color w:val="auto"/>
                <w:kern w:val="0"/>
                <w:sz w:val="24"/>
                <w:highlight w:val="none"/>
                <w:u w:val="none"/>
              </w:rPr>
              <w:t>沉淀后回用于场区洒水降尘。</w:t>
            </w:r>
          </w:p>
        </w:tc>
      </w:tr>
      <w:tr w14:paraId="1AC51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209" w:type="pct"/>
            <w:vAlign w:val="center"/>
          </w:tcPr>
          <w:p w14:paraId="7F2C6217">
            <w:pPr>
              <w:pStyle w:val="39"/>
              <w:jc w:val="center"/>
              <w:outlineLvl w:val="0"/>
              <w:rPr>
                <w:color w:val="auto"/>
                <w:highlight w:val="none"/>
              </w:rPr>
            </w:pPr>
            <w:bookmarkStart w:id="25" w:name="_Toc15456"/>
            <w:r>
              <w:rPr>
                <w:color w:val="auto"/>
                <w:highlight w:val="none"/>
              </w:rPr>
              <w:t>其他</w:t>
            </w:r>
            <w:bookmarkEnd w:id="25"/>
          </w:p>
        </w:tc>
        <w:tc>
          <w:tcPr>
            <w:tcW w:w="4791" w:type="pct"/>
            <w:vAlign w:val="center"/>
          </w:tcPr>
          <w:p w14:paraId="64BBFC26">
            <w:pPr>
              <w:keepNext w:val="0"/>
              <w:keepLines w:val="0"/>
              <w:pageBreakBefore w:val="0"/>
              <w:widowControl w:val="0"/>
              <w:tabs>
                <w:tab w:val="left" w:pos="0"/>
              </w:tabs>
              <w:kinsoku/>
              <w:wordWrap/>
              <w:overflowPunct/>
              <w:topLinePunct w:val="0"/>
              <w:autoSpaceDE/>
              <w:autoSpaceDN/>
              <w:bidi w:val="0"/>
              <w:adjustRightInd w:val="0"/>
              <w:snapToGrid w:val="0"/>
              <w:spacing w:line="240" w:lineRule="auto"/>
              <w:jc w:val="center"/>
              <w:textAlignment w:val="auto"/>
              <w:rPr>
                <w:b/>
                <w:color w:val="auto"/>
                <w:sz w:val="24"/>
                <w:highlight w:val="none"/>
              </w:rPr>
            </w:pPr>
            <w:r>
              <w:rPr>
                <w:bCs/>
                <w:color w:val="auto"/>
                <w:sz w:val="24"/>
                <w:highlight w:val="none"/>
              </w:rPr>
              <w:t>不涉及</w:t>
            </w:r>
            <w:r>
              <w:rPr>
                <w:rFonts w:hint="eastAsia"/>
                <w:bCs/>
                <w:color w:val="auto"/>
                <w:sz w:val="24"/>
                <w:highlight w:val="none"/>
              </w:rPr>
              <w:t>其他总量控制指标等</w:t>
            </w:r>
            <w:r>
              <w:rPr>
                <w:bCs/>
                <w:color w:val="auto"/>
                <w:sz w:val="24"/>
                <w:highlight w:val="none"/>
              </w:rPr>
              <w:t>。</w:t>
            </w:r>
          </w:p>
        </w:tc>
      </w:tr>
    </w:tbl>
    <w:p w14:paraId="4D67FE52">
      <w:pPr>
        <w:pStyle w:val="39"/>
        <w:jc w:val="center"/>
        <w:outlineLvl w:val="0"/>
        <w:rPr>
          <w:rFonts w:ascii="Times New Roman" w:hAnsi="Times New Roman" w:eastAsia="黑体"/>
          <w:snapToGrid w:val="0"/>
          <w:color w:val="auto"/>
          <w:sz w:val="30"/>
          <w:szCs w:val="30"/>
          <w:highlight w:val="none"/>
        </w:rPr>
        <w:sectPr>
          <w:pgSz w:w="11906" w:h="16838"/>
          <w:pgMar w:top="1134" w:right="1361" w:bottom="1134" w:left="1361" w:header="851" w:footer="890" w:gutter="0"/>
          <w:pgBorders>
            <w:top w:val="none" w:sz="0" w:space="0"/>
            <w:left w:val="none" w:sz="0" w:space="0"/>
            <w:bottom w:val="none" w:sz="0" w:space="0"/>
            <w:right w:val="none" w:sz="0" w:space="0"/>
          </w:pgBorders>
          <w:cols w:space="720" w:num="1"/>
          <w:docGrid w:linePitch="312" w:charSpace="0"/>
        </w:sectPr>
      </w:pPr>
    </w:p>
    <w:p w14:paraId="46684424">
      <w:pPr>
        <w:pStyle w:val="39"/>
        <w:adjustRightInd w:val="0"/>
        <w:snapToGrid w:val="0"/>
        <w:spacing w:before="0" w:beforeAutospacing="0" w:after="0" w:afterAutospacing="0" w:line="14" w:lineRule="auto"/>
        <w:jc w:val="center"/>
        <w:rPr>
          <w:rFonts w:ascii="Times New Roman" w:hAnsi="Times New Roman" w:eastAsia="黑体"/>
          <w:snapToGrid w:val="0"/>
          <w:color w:val="auto"/>
          <w:kern w:val="2"/>
          <w:sz w:val="36"/>
          <w:szCs w:val="36"/>
          <w:highlight w:val="none"/>
        </w:rPr>
      </w:pPr>
    </w:p>
    <w:p w14:paraId="290AF47E">
      <w:pPr>
        <w:pStyle w:val="39"/>
        <w:adjustRightInd w:val="0"/>
        <w:snapToGrid w:val="0"/>
        <w:spacing w:before="0" w:beforeAutospacing="0" w:after="0" w:afterAutospacing="0" w:line="14" w:lineRule="auto"/>
        <w:jc w:val="center"/>
        <w:rPr>
          <w:rFonts w:ascii="Times New Roman" w:hAnsi="Times New Roman" w:eastAsia="黑体"/>
          <w:snapToGrid w:val="0"/>
          <w:color w:val="auto"/>
          <w:kern w:val="2"/>
          <w:sz w:val="36"/>
          <w:szCs w:val="36"/>
          <w:highlight w:val="none"/>
        </w:rPr>
      </w:pPr>
    </w:p>
    <w:p w14:paraId="24525054">
      <w:pPr>
        <w:pStyle w:val="39"/>
        <w:adjustRightInd w:val="0"/>
        <w:snapToGrid w:val="0"/>
        <w:spacing w:before="0" w:beforeAutospacing="0" w:after="0" w:afterAutospacing="0" w:line="14" w:lineRule="auto"/>
        <w:jc w:val="center"/>
        <w:rPr>
          <w:rFonts w:ascii="Times New Roman" w:hAnsi="Times New Roman" w:eastAsia="黑体"/>
          <w:snapToGrid w:val="0"/>
          <w:color w:val="auto"/>
          <w:kern w:val="2"/>
          <w:sz w:val="36"/>
          <w:szCs w:val="36"/>
          <w:highlight w:val="none"/>
        </w:rPr>
      </w:pPr>
    </w:p>
    <w:p w14:paraId="04E07618">
      <w:pPr>
        <w:pStyle w:val="39"/>
        <w:adjustRightInd w:val="0"/>
        <w:snapToGrid w:val="0"/>
        <w:spacing w:before="0" w:beforeAutospacing="0" w:after="0" w:afterAutospacing="0" w:line="14" w:lineRule="auto"/>
        <w:jc w:val="center"/>
        <w:rPr>
          <w:rFonts w:ascii="Times New Roman" w:hAnsi="Times New Roman" w:eastAsia="黑体"/>
          <w:snapToGrid w:val="0"/>
          <w:color w:val="auto"/>
          <w:kern w:val="2"/>
          <w:sz w:val="36"/>
          <w:szCs w:val="36"/>
          <w:highlight w:val="none"/>
        </w:rPr>
      </w:pPr>
    </w:p>
    <w:p w14:paraId="321F2673">
      <w:pPr>
        <w:pStyle w:val="39"/>
        <w:adjustRightInd w:val="0"/>
        <w:snapToGrid w:val="0"/>
        <w:spacing w:before="0" w:beforeAutospacing="0" w:after="0" w:afterAutospacing="0" w:line="14" w:lineRule="auto"/>
        <w:jc w:val="center"/>
        <w:rPr>
          <w:rFonts w:ascii="Times New Roman" w:hAnsi="Times New Roman" w:eastAsia="黑体"/>
          <w:snapToGrid w:val="0"/>
          <w:color w:val="auto"/>
          <w:kern w:val="2"/>
          <w:sz w:val="36"/>
          <w:szCs w:val="36"/>
          <w:highlight w:val="none"/>
        </w:rPr>
      </w:pPr>
    </w:p>
    <w:p w14:paraId="7012D84D">
      <w:pPr>
        <w:pStyle w:val="39"/>
        <w:jc w:val="center"/>
        <w:outlineLvl w:val="0"/>
        <w:rPr>
          <w:rFonts w:ascii="Times New Roman" w:hAnsi="Times New Roman" w:eastAsia="黑体"/>
          <w:snapToGrid w:val="0"/>
          <w:color w:val="auto"/>
          <w:sz w:val="30"/>
          <w:szCs w:val="30"/>
          <w:highlight w:val="none"/>
        </w:rPr>
      </w:pPr>
      <w:bookmarkStart w:id="26" w:name="_Toc79488353"/>
      <w:bookmarkStart w:id="27" w:name="_Toc26339"/>
      <w:bookmarkStart w:id="28" w:name="_Toc70507850"/>
      <w:r>
        <w:rPr>
          <w:rFonts w:ascii="Times New Roman" w:hAnsi="Times New Roman" w:eastAsia="黑体"/>
          <w:snapToGrid w:val="0"/>
          <w:color w:val="auto"/>
          <w:sz w:val="30"/>
          <w:szCs w:val="30"/>
          <w:highlight w:val="none"/>
        </w:rPr>
        <w:t>四、生态环境影响分析</w:t>
      </w:r>
      <w:bookmarkEnd w:id="26"/>
      <w:bookmarkEnd w:id="27"/>
      <w:bookmarkEnd w:id="28"/>
    </w:p>
    <w:tbl>
      <w:tblPr>
        <w:tblStyle w:val="44"/>
        <w:tblW w:w="51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9156"/>
      </w:tblGrid>
      <w:tr w14:paraId="658B4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 w:type="pct"/>
            <w:tcMar>
              <w:left w:w="28" w:type="dxa"/>
              <w:right w:w="28" w:type="dxa"/>
            </w:tcMar>
            <w:vAlign w:val="center"/>
          </w:tcPr>
          <w:p w14:paraId="1E00E99A">
            <w:pPr>
              <w:pStyle w:val="39"/>
              <w:adjustRightInd w:val="0"/>
              <w:snapToGrid w:val="0"/>
              <w:spacing w:before="0" w:beforeAutospacing="0" w:after="0" w:afterAutospacing="0"/>
              <w:jc w:val="center"/>
              <w:rPr>
                <w:rFonts w:ascii="Times New Roman" w:hAnsi="Times New Roman"/>
                <w:bCs/>
                <w:color w:val="auto"/>
                <w:spacing w:val="10"/>
                <w:kern w:val="2"/>
                <w:szCs w:val="24"/>
                <w:highlight w:val="none"/>
              </w:rPr>
            </w:pPr>
            <w:bookmarkStart w:id="29" w:name="_Hlk49796138"/>
            <w:r>
              <w:rPr>
                <w:rFonts w:ascii="Times New Roman" w:hAnsi="Times New Roman"/>
                <w:bCs/>
                <w:color w:val="auto"/>
                <w:spacing w:val="10"/>
                <w:kern w:val="2"/>
                <w:szCs w:val="24"/>
                <w:highlight w:val="none"/>
              </w:rPr>
              <w:t>施工期生态环境影响分析</w:t>
            </w:r>
            <w:bookmarkEnd w:id="29"/>
          </w:p>
        </w:tc>
        <w:tc>
          <w:tcPr>
            <w:tcW w:w="4776" w:type="pct"/>
          </w:tcPr>
          <w:p w14:paraId="240E7484">
            <w:pPr>
              <w:tabs>
                <w:tab w:val="left" w:pos="0"/>
              </w:tabs>
              <w:snapToGrid w:val="0"/>
              <w:spacing w:before="120" w:line="360" w:lineRule="auto"/>
              <w:rPr>
                <w:b/>
                <w:color w:val="auto"/>
                <w:sz w:val="24"/>
                <w:highlight w:val="none"/>
              </w:rPr>
            </w:pPr>
            <w:r>
              <w:rPr>
                <w:rFonts w:hint="eastAsia"/>
                <w:b/>
                <w:color w:val="auto"/>
                <w:sz w:val="24"/>
                <w:highlight w:val="none"/>
              </w:rPr>
              <w:t>1.施工期产污环节</w:t>
            </w:r>
          </w:p>
          <w:p w14:paraId="5998AEF0">
            <w:pPr>
              <w:adjustRightInd w:val="0"/>
              <w:snapToGrid w:val="0"/>
              <w:spacing w:line="360" w:lineRule="auto"/>
              <w:ind w:firstLine="480" w:firstLineChars="200"/>
              <w:rPr>
                <w:color w:val="auto"/>
                <w:sz w:val="24"/>
                <w:highlight w:val="none"/>
              </w:rPr>
            </w:pPr>
            <w:r>
              <w:rPr>
                <w:color w:val="auto"/>
                <w:sz w:val="24"/>
                <w:highlight w:val="none"/>
              </w:rPr>
              <w:t>本</w:t>
            </w:r>
            <w:r>
              <w:rPr>
                <w:rFonts w:hint="eastAsia"/>
                <w:color w:val="auto"/>
                <w:sz w:val="24"/>
                <w:highlight w:val="none"/>
              </w:rPr>
              <w:t>项目</w:t>
            </w:r>
            <w:r>
              <w:rPr>
                <w:color w:val="auto"/>
                <w:sz w:val="24"/>
                <w:highlight w:val="none"/>
              </w:rPr>
              <w:t>为</w:t>
            </w:r>
            <w:r>
              <w:rPr>
                <w:rFonts w:hint="eastAsia"/>
                <w:color w:val="auto"/>
                <w:sz w:val="24"/>
                <w:highlight w:val="none"/>
                <w:lang w:val="en-US" w:eastAsia="zh-CN"/>
              </w:rPr>
              <w:t>输变电工程</w:t>
            </w:r>
            <w:r>
              <w:rPr>
                <w:color w:val="auto"/>
                <w:sz w:val="24"/>
                <w:highlight w:val="none"/>
              </w:rPr>
              <w:t>，即将高压电流通过输电线路的导线送入另一变电站。</w:t>
            </w:r>
            <w:r>
              <w:rPr>
                <w:rFonts w:hint="eastAsia"/>
                <w:color w:val="auto"/>
                <w:sz w:val="24"/>
                <w:highlight w:val="none"/>
              </w:rPr>
              <w:t>项目施工期</w:t>
            </w:r>
            <w:r>
              <w:rPr>
                <w:color w:val="auto"/>
                <w:sz w:val="24"/>
                <w:highlight w:val="none"/>
              </w:rPr>
              <w:t>产污环节示意图见图4-1。</w:t>
            </w:r>
          </w:p>
          <w:p w14:paraId="560AB025">
            <w:pPr>
              <w:spacing w:line="360" w:lineRule="auto"/>
              <w:jc w:val="center"/>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4343400" cy="2032000"/>
                  <wp:effectExtent l="9525" t="9525" r="15875" b="15875"/>
                  <wp:docPr id="7" name="图片 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1"/>
                          <pic:cNvPicPr>
                            <a:picLocks noChangeAspect="1"/>
                          </pic:cNvPicPr>
                        </pic:nvPicPr>
                        <pic:blipFill>
                          <a:blip r:embed="rId23"/>
                          <a:stretch>
                            <a:fillRect/>
                          </a:stretch>
                        </pic:blipFill>
                        <pic:spPr>
                          <a:xfrm>
                            <a:off x="0" y="0"/>
                            <a:ext cx="4343400" cy="2032000"/>
                          </a:xfrm>
                          <a:prstGeom prst="rect">
                            <a:avLst/>
                          </a:prstGeom>
                          <a:ln w="3175">
                            <a:solidFill>
                              <a:schemeClr val="tx1"/>
                            </a:solidFill>
                          </a:ln>
                        </pic:spPr>
                      </pic:pic>
                    </a:graphicData>
                  </a:graphic>
                </wp:inline>
              </w:drawing>
            </w:r>
          </w:p>
          <w:p w14:paraId="73145594">
            <w:pPr>
              <w:pStyle w:val="19"/>
              <w:spacing w:line="360" w:lineRule="auto"/>
              <w:jc w:val="center"/>
              <w:rPr>
                <w:b/>
                <w:bCs/>
                <w:color w:val="auto"/>
                <w:sz w:val="24"/>
                <w:highlight w:val="none"/>
              </w:rPr>
            </w:pPr>
            <w:r>
              <w:rPr>
                <w:b/>
                <w:bCs/>
                <w:color w:val="auto"/>
                <w:sz w:val="24"/>
                <w:highlight w:val="none"/>
              </w:rPr>
              <w:t>图</w:t>
            </w:r>
            <w:r>
              <w:rPr>
                <w:rFonts w:hint="eastAsia"/>
                <w:b/>
                <w:bCs/>
                <w:color w:val="auto"/>
                <w:sz w:val="24"/>
                <w:highlight w:val="none"/>
              </w:rPr>
              <w:t>4-1</w:t>
            </w:r>
            <w:r>
              <w:rPr>
                <w:b/>
                <w:bCs/>
                <w:color w:val="auto"/>
                <w:sz w:val="24"/>
                <w:highlight w:val="none"/>
              </w:rPr>
              <w:t xml:space="preserve">  </w:t>
            </w:r>
            <w:r>
              <w:rPr>
                <w:rFonts w:hint="eastAsia"/>
                <w:b/>
                <w:bCs/>
                <w:color w:val="auto"/>
                <w:sz w:val="24"/>
                <w:highlight w:val="none"/>
              </w:rPr>
              <w:t>施工期</w:t>
            </w:r>
            <w:r>
              <w:rPr>
                <w:b/>
                <w:bCs/>
                <w:color w:val="auto"/>
                <w:sz w:val="24"/>
                <w:highlight w:val="none"/>
              </w:rPr>
              <w:t>产污环节示意图</w:t>
            </w:r>
          </w:p>
          <w:p w14:paraId="6E23FC4F">
            <w:pPr>
              <w:tabs>
                <w:tab w:val="left" w:pos="0"/>
              </w:tabs>
              <w:snapToGrid w:val="0"/>
              <w:spacing w:before="120" w:line="360" w:lineRule="auto"/>
              <w:rPr>
                <w:b/>
                <w:color w:val="auto"/>
                <w:sz w:val="24"/>
                <w:highlight w:val="none"/>
              </w:rPr>
            </w:pPr>
            <w:r>
              <w:rPr>
                <w:rFonts w:hint="eastAsia"/>
                <w:b/>
                <w:color w:val="auto"/>
                <w:sz w:val="24"/>
                <w:highlight w:val="none"/>
              </w:rPr>
              <w:t>2.</w:t>
            </w:r>
            <w:r>
              <w:rPr>
                <w:b/>
                <w:color w:val="auto"/>
                <w:sz w:val="24"/>
                <w:highlight w:val="none"/>
              </w:rPr>
              <w:t>生态环境</w:t>
            </w:r>
          </w:p>
          <w:p w14:paraId="7593521D">
            <w:pPr>
              <w:tabs>
                <w:tab w:val="left" w:pos="0"/>
              </w:tabs>
              <w:snapToGrid w:val="0"/>
              <w:spacing w:before="20" w:after="20" w:line="360" w:lineRule="auto"/>
              <w:rPr>
                <w:b/>
                <w:color w:val="auto"/>
                <w:sz w:val="24"/>
                <w:highlight w:val="none"/>
              </w:rPr>
            </w:pPr>
            <w:r>
              <w:rPr>
                <w:rFonts w:hint="eastAsia"/>
                <w:b/>
                <w:color w:val="auto"/>
                <w:sz w:val="24"/>
                <w:highlight w:val="none"/>
              </w:rPr>
              <w:t>2.1影响途径</w:t>
            </w:r>
          </w:p>
          <w:p w14:paraId="2A0CD9CF">
            <w:pPr>
              <w:spacing w:line="360" w:lineRule="auto"/>
              <w:ind w:firstLine="480" w:firstLineChars="200"/>
              <w:rPr>
                <w:color w:val="auto"/>
                <w:sz w:val="24"/>
                <w:highlight w:val="none"/>
              </w:rPr>
            </w:pPr>
            <w:r>
              <w:rPr>
                <w:color w:val="auto"/>
                <w:sz w:val="24"/>
                <w:highlight w:val="none"/>
              </w:rPr>
              <w:t>本项目对周边生态环境的影响主要体现在项目临时占地、永久占地、施工活动带来的影响。</w:t>
            </w:r>
          </w:p>
          <w:p w14:paraId="229189C9">
            <w:pPr>
              <w:spacing w:line="360" w:lineRule="auto"/>
              <w:ind w:firstLine="480" w:firstLineChars="200"/>
              <w:rPr>
                <w:color w:val="auto"/>
                <w:sz w:val="24"/>
                <w:highlight w:val="none"/>
              </w:rPr>
            </w:pPr>
            <w:r>
              <w:rPr>
                <w:color w:val="auto"/>
                <w:sz w:val="24"/>
                <w:highlight w:val="none"/>
              </w:rPr>
              <w:t>新建线路</w:t>
            </w:r>
            <w:r>
              <w:rPr>
                <w:rFonts w:hint="eastAsia"/>
                <w:color w:val="auto"/>
                <w:sz w:val="24"/>
                <w:szCs w:val="24"/>
                <w:highlight w:val="none"/>
                <w:lang w:val="en-US" w:eastAsia="zh-CN"/>
              </w:rPr>
              <w:t>电缆沟和终端塔</w:t>
            </w:r>
            <w:r>
              <w:rPr>
                <w:color w:val="auto"/>
                <w:sz w:val="24"/>
                <w:szCs w:val="24"/>
                <w:highlight w:val="none"/>
              </w:rPr>
              <w:t>的开挖活动</w:t>
            </w:r>
            <w:r>
              <w:rPr>
                <w:rFonts w:hint="eastAsia"/>
                <w:color w:val="auto"/>
                <w:sz w:val="24"/>
                <w:szCs w:val="24"/>
                <w:highlight w:val="none"/>
                <w:lang w:eastAsia="zh-CN"/>
              </w:rPr>
              <w:t>、</w:t>
            </w:r>
            <w:r>
              <w:rPr>
                <w:rFonts w:hint="eastAsia"/>
                <w:color w:val="auto"/>
                <w:sz w:val="24"/>
                <w:highlight w:val="none"/>
                <w:lang w:val="en-US" w:eastAsia="zh-CN"/>
              </w:rPr>
              <w:t>盘缆</w:t>
            </w:r>
            <w:r>
              <w:rPr>
                <w:color w:val="auto"/>
                <w:sz w:val="24"/>
                <w:highlight w:val="none"/>
              </w:rPr>
              <w:t>场地等临时占地将破坏地表植被，干扰野生动物的栖息。输电线路在</w:t>
            </w:r>
            <w:r>
              <w:rPr>
                <w:rFonts w:hint="eastAsia"/>
                <w:color w:val="auto"/>
                <w:sz w:val="24"/>
                <w:highlight w:val="none"/>
                <w:lang w:val="en-US" w:eastAsia="zh-CN"/>
              </w:rPr>
              <w:t>电缆沟</w:t>
            </w:r>
            <w:r>
              <w:rPr>
                <w:color w:val="auto"/>
                <w:sz w:val="24"/>
                <w:highlight w:val="none"/>
              </w:rPr>
              <w:t>开挖、清理、平整等施工过程中将会对植被、原地表土壤结构造成不同程度的扰动和破坏，致使土层裸露，受降水及径流冲刷，容易造成新增水土流失。</w:t>
            </w:r>
          </w:p>
          <w:p w14:paraId="07A945BB">
            <w:pPr>
              <w:tabs>
                <w:tab w:val="left" w:pos="0"/>
              </w:tabs>
              <w:snapToGrid w:val="0"/>
              <w:spacing w:before="20" w:after="20" w:line="360" w:lineRule="auto"/>
              <w:rPr>
                <w:b/>
                <w:color w:val="auto"/>
                <w:sz w:val="24"/>
                <w:highlight w:val="none"/>
              </w:rPr>
            </w:pPr>
            <w:r>
              <w:rPr>
                <w:rFonts w:hint="eastAsia"/>
                <w:b/>
                <w:color w:val="auto"/>
                <w:sz w:val="24"/>
                <w:highlight w:val="none"/>
              </w:rPr>
              <w:t>2.2生态环境影响分析</w:t>
            </w:r>
          </w:p>
          <w:p w14:paraId="03E4C565">
            <w:pPr>
              <w:adjustRightInd w:val="0"/>
              <w:snapToGrid w:val="0"/>
              <w:spacing w:line="360" w:lineRule="auto"/>
              <w:ind w:firstLine="480" w:firstLineChars="200"/>
              <w:rPr>
                <w:bCs/>
                <w:color w:val="auto"/>
                <w:sz w:val="24"/>
                <w:highlight w:val="none"/>
              </w:rPr>
            </w:pPr>
            <w:r>
              <w:rPr>
                <w:rFonts w:hint="eastAsia"/>
                <w:bCs/>
                <w:color w:val="auto"/>
                <w:sz w:val="24"/>
                <w:highlight w:val="none"/>
              </w:rPr>
              <w:t>（1）</w:t>
            </w:r>
            <w:r>
              <w:rPr>
                <w:color w:val="auto"/>
                <w:sz w:val="24"/>
                <w:highlight w:val="none"/>
              </w:rPr>
              <w:t>土地</w:t>
            </w:r>
            <w:r>
              <w:rPr>
                <w:rFonts w:hint="eastAsia"/>
                <w:color w:val="auto"/>
                <w:sz w:val="24"/>
                <w:highlight w:val="none"/>
              </w:rPr>
              <w:t>利用影响</w:t>
            </w:r>
          </w:p>
          <w:p w14:paraId="3DF91A0D">
            <w:pPr>
              <w:adjustRightInd w:val="0"/>
              <w:snapToGrid w:val="0"/>
              <w:spacing w:line="360" w:lineRule="auto"/>
              <w:ind w:firstLine="480" w:firstLineChars="200"/>
              <w:rPr>
                <w:color w:val="auto"/>
                <w:sz w:val="24"/>
                <w:highlight w:val="none"/>
              </w:rPr>
            </w:pPr>
            <w:r>
              <w:rPr>
                <w:color w:val="auto"/>
                <w:sz w:val="24"/>
                <w:highlight w:val="none"/>
              </w:rPr>
              <w:t>本项目占地分为永久占地和临时占地，永久占地为</w:t>
            </w:r>
            <w:r>
              <w:rPr>
                <w:rFonts w:hint="eastAsia"/>
                <w:color w:val="auto"/>
                <w:sz w:val="24"/>
                <w:highlight w:val="none"/>
                <w:lang w:val="en-US" w:eastAsia="zh-CN"/>
              </w:rPr>
              <w:t>110kV河北变电站站内新建电缆及终端塔</w:t>
            </w:r>
            <w:r>
              <w:rPr>
                <w:color w:val="auto"/>
                <w:sz w:val="24"/>
                <w:highlight w:val="none"/>
              </w:rPr>
              <w:t>占地，临时占地包括</w:t>
            </w:r>
            <w:r>
              <w:rPr>
                <w:rFonts w:hint="eastAsia"/>
                <w:color w:val="auto"/>
                <w:sz w:val="24"/>
                <w:highlight w:val="none"/>
                <w:lang w:val="en-US" w:eastAsia="zh-CN"/>
              </w:rPr>
              <w:t>电缆沟施工场地、</w:t>
            </w:r>
            <w:r>
              <w:rPr>
                <w:color w:val="auto"/>
                <w:sz w:val="24"/>
                <w:highlight w:val="none"/>
              </w:rPr>
              <w:t>施工临时道路等占地等。项目永久占地将改变现有土地的性质和功能，永久占地和临时占地将破坏地表植被，干扰野生动物的栖息。</w:t>
            </w:r>
          </w:p>
          <w:p w14:paraId="1869490E">
            <w:pPr>
              <w:adjustRightInd w:val="0"/>
              <w:snapToGrid w:val="0"/>
              <w:spacing w:line="360" w:lineRule="auto"/>
              <w:ind w:firstLine="480" w:firstLineChars="200"/>
              <w:rPr>
                <w:color w:val="auto"/>
                <w:sz w:val="24"/>
                <w:highlight w:val="none"/>
              </w:rPr>
            </w:pPr>
            <w:r>
              <w:rPr>
                <w:color w:val="auto"/>
                <w:sz w:val="24"/>
                <w:highlight w:val="none"/>
              </w:rPr>
              <w:t>由于本项目</w:t>
            </w:r>
            <w:r>
              <w:rPr>
                <w:rFonts w:hint="eastAsia"/>
                <w:color w:val="auto"/>
                <w:sz w:val="24"/>
                <w:highlight w:val="none"/>
                <w:lang w:val="en-US" w:eastAsia="zh-CN"/>
              </w:rPr>
              <w:t>电缆</w:t>
            </w:r>
            <w:r>
              <w:rPr>
                <w:color w:val="auto"/>
                <w:sz w:val="24"/>
                <w:highlight w:val="none"/>
              </w:rPr>
              <w:t>线路具有占地面积小的特点，工程建设不会引起区域土地利用的结构性变化，施工结束后及时清理现场，尽可能恢复原状地貌，不会带来明显的土地利用结构与功能变化。</w:t>
            </w:r>
          </w:p>
          <w:p w14:paraId="5D9F732F">
            <w:pPr>
              <w:spacing w:line="360" w:lineRule="auto"/>
              <w:ind w:firstLine="480" w:firstLineChars="200"/>
              <w:rPr>
                <w:color w:val="auto"/>
                <w:sz w:val="24"/>
                <w:highlight w:val="none"/>
              </w:rPr>
            </w:pPr>
            <w:r>
              <w:rPr>
                <w:rFonts w:hint="eastAsia"/>
                <w:color w:val="auto"/>
                <w:sz w:val="24"/>
                <w:highlight w:val="none"/>
                <w:lang w:val="en-US" w:eastAsia="zh-CN"/>
              </w:rPr>
              <w:t>本项目在110kV河北变电站站内新建0.02km电缆沟及1基终端塔，</w:t>
            </w:r>
            <w:r>
              <w:rPr>
                <w:rFonts w:hint="eastAsia"/>
                <w:color w:val="auto"/>
                <w:sz w:val="24"/>
                <w:highlight w:val="none"/>
              </w:rPr>
              <w:t>施工均在围墙内进行，不新征用地，对站外生态环境无影响。</w:t>
            </w:r>
          </w:p>
          <w:p w14:paraId="0B593A38">
            <w:pPr>
              <w:adjustRightInd w:val="0"/>
              <w:snapToGrid w:val="0"/>
              <w:spacing w:line="360" w:lineRule="auto"/>
              <w:ind w:firstLine="480" w:firstLineChars="200"/>
              <w:rPr>
                <w:color w:val="auto"/>
                <w:sz w:val="24"/>
                <w:highlight w:val="none"/>
              </w:rPr>
            </w:pPr>
            <w:r>
              <w:rPr>
                <w:color w:val="auto"/>
                <w:sz w:val="24"/>
                <w:highlight w:val="none"/>
              </w:rPr>
              <w:t>（2）对</w:t>
            </w:r>
            <w:r>
              <w:rPr>
                <w:rFonts w:hint="eastAsia"/>
                <w:color w:val="auto"/>
                <w:sz w:val="24"/>
                <w:highlight w:val="none"/>
              </w:rPr>
              <w:t>植被</w:t>
            </w:r>
            <w:r>
              <w:rPr>
                <w:color w:val="auto"/>
                <w:sz w:val="24"/>
                <w:highlight w:val="none"/>
              </w:rPr>
              <w:t>的影响</w:t>
            </w:r>
          </w:p>
          <w:p w14:paraId="7AB1A4B9">
            <w:pPr>
              <w:adjustRightInd w:val="0"/>
              <w:snapToGrid w:val="0"/>
              <w:spacing w:line="360" w:lineRule="auto"/>
              <w:ind w:firstLine="480" w:firstLineChars="200"/>
              <w:rPr>
                <w:color w:val="auto"/>
                <w:sz w:val="24"/>
                <w:highlight w:val="none"/>
              </w:rPr>
            </w:pPr>
            <w:r>
              <w:rPr>
                <w:rFonts w:hint="eastAsia"/>
                <w:color w:val="auto"/>
                <w:sz w:val="24"/>
                <w:highlight w:val="none"/>
              </w:rPr>
              <w:t>本项目沿线</w:t>
            </w:r>
            <w:r>
              <w:rPr>
                <w:rFonts w:hint="eastAsia"/>
                <w:color w:val="auto"/>
                <w:sz w:val="24"/>
                <w:highlight w:val="none"/>
                <w:lang w:val="en-US" w:eastAsia="zh-CN"/>
              </w:rPr>
              <w:t>主要位于市区交通道路旁</w:t>
            </w:r>
            <w:r>
              <w:rPr>
                <w:rFonts w:hint="eastAsia"/>
                <w:color w:val="auto"/>
                <w:sz w:val="24"/>
                <w:highlight w:val="none"/>
              </w:rPr>
              <w:t>，项目建设区域人类活动频繁，植被主要</w:t>
            </w:r>
            <w:r>
              <w:rPr>
                <w:rFonts w:hint="eastAsia"/>
                <w:color w:val="auto"/>
                <w:sz w:val="24"/>
                <w:highlight w:val="none"/>
                <w:lang w:val="en-US" w:eastAsia="zh-CN"/>
              </w:rPr>
              <w:t>为蓝花楹、木棉、榕树、洋紫荆、紫竹吊、红花檵木、马尼拉草</w:t>
            </w:r>
            <w:r>
              <w:rPr>
                <w:rFonts w:hint="eastAsia"/>
                <w:color w:val="auto"/>
                <w:sz w:val="24"/>
                <w:highlight w:val="none"/>
              </w:rPr>
              <w:t>等；</w:t>
            </w:r>
            <w:r>
              <w:rPr>
                <w:color w:val="auto"/>
                <w:sz w:val="24"/>
                <w:highlight w:val="none"/>
              </w:rPr>
              <w:t>经现场踏勘、走访相关部门及线路沿线附近的居民，沿线未发现珍稀及受保护的野生植物资源及名木古树分布。</w:t>
            </w:r>
          </w:p>
          <w:p w14:paraId="683EA1A0">
            <w:pPr>
              <w:adjustRightInd w:val="0"/>
              <w:snapToGrid w:val="0"/>
              <w:spacing w:line="360" w:lineRule="auto"/>
              <w:ind w:firstLine="480" w:firstLineChars="200"/>
              <w:rPr>
                <w:rFonts w:hint="eastAsia"/>
                <w:bCs/>
                <w:color w:val="auto"/>
                <w:sz w:val="24"/>
                <w:highlight w:val="none"/>
              </w:rPr>
            </w:pPr>
            <w:r>
              <w:rPr>
                <w:rFonts w:hint="default" w:ascii="Times New Roman" w:hAnsi="Times New Roman" w:cs="Times New Roman"/>
                <w:color w:val="auto"/>
                <w:sz w:val="24"/>
                <w:highlight w:val="none"/>
                <w:lang w:eastAsia="zh-CN"/>
              </w:rPr>
              <w:t>电缆</w:t>
            </w:r>
            <w:r>
              <w:rPr>
                <w:rFonts w:hint="eastAsia" w:cs="Times New Roman"/>
                <w:color w:val="auto"/>
                <w:sz w:val="24"/>
                <w:highlight w:val="none"/>
                <w:lang w:val="en-US" w:eastAsia="zh-CN"/>
              </w:rPr>
              <w:t>沟</w:t>
            </w:r>
            <w:r>
              <w:rPr>
                <w:rFonts w:hint="default" w:ascii="Times New Roman" w:hAnsi="Times New Roman" w:cs="Times New Roman"/>
                <w:color w:val="auto"/>
                <w:sz w:val="24"/>
                <w:highlight w:val="none"/>
                <w:lang w:eastAsia="zh-CN"/>
              </w:rPr>
              <w:t>占地</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施工临时占地</w:t>
            </w:r>
            <w:r>
              <w:rPr>
                <w:rFonts w:hint="eastAsia" w:ascii="Times New Roman" w:hAnsi="Times New Roman" w:cs="Times New Roman"/>
                <w:color w:val="auto"/>
                <w:sz w:val="24"/>
                <w:highlight w:val="none"/>
                <w:lang w:val="en-US" w:eastAsia="zh-CN"/>
              </w:rPr>
              <w:t>以及材料临时堆放会</w:t>
            </w:r>
            <w:r>
              <w:rPr>
                <w:rFonts w:hint="default" w:ascii="Times New Roman" w:hAnsi="Times New Roman" w:cs="Times New Roman"/>
                <w:color w:val="auto"/>
                <w:sz w:val="24"/>
                <w:highlight w:val="none"/>
              </w:rPr>
              <w:t>破坏</w:t>
            </w:r>
            <w:r>
              <w:rPr>
                <w:rFonts w:hint="eastAsia" w:ascii="Times New Roman" w:hAnsi="Times New Roman" w:cs="Times New Roman"/>
                <w:color w:val="auto"/>
                <w:sz w:val="24"/>
                <w:highlight w:val="none"/>
                <w:lang w:val="en-US" w:eastAsia="zh-CN"/>
              </w:rPr>
              <w:t>一定量的</w:t>
            </w:r>
            <w:r>
              <w:rPr>
                <w:rFonts w:hint="default" w:ascii="Times New Roman" w:hAnsi="Times New Roman" w:cs="Times New Roman"/>
                <w:color w:val="auto"/>
                <w:sz w:val="24"/>
                <w:highlight w:val="none"/>
              </w:rPr>
              <w:t>植被，</w:t>
            </w:r>
            <w:r>
              <w:rPr>
                <w:rFonts w:hint="eastAsia" w:ascii="Times New Roman" w:hAnsi="Times New Roman" w:cs="Times New Roman"/>
                <w:color w:val="auto"/>
                <w:sz w:val="24"/>
                <w:highlight w:val="none"/>
                <w:lang w:val="en-US" w:eastAsia="zh-CN"/>
              </w:rPr>
              <w:t>造成植物减少、生物量损失。</w:t>
            </w:r>
            <w:r>
              <w:rPr>
                <w:rFonts w:hint="default" w:ascii="Times New Roman" w:hAnsi="Times New Roman" w:cs="Times New Roman"/>
                <w:color w:val="auto"/>
                <w:sz w:val="24"/>
                <w:highlight w:val="none"/>
              </w:rPr>
              <w:t>本项目沿线主要以</w:t>
            </w:r>
            <w:r>
              <w:rPr>
                <w:rFonts w:hint="eastAsia" w:ascii="Times New Roman" w:hAnsi="Times New Roman" w:cs="Times New Roman"/>
                <w:color w:val="auto"/>
                <w:sz w:val="24"/>
                <w:highlight w:val="none"/>
                <w:lang w:val="en-US" w:eastAsia="zh-CN"/>
              </w:rPr>
              <w:t>交通道路</w:t>
            </w:r>
            <w:r>
              <w:rPr>
                <w:rFonts w:hint="default" w:ascii="Times New Roman" w:hAnsi="Times New Roman" w:cs="Times New Roman"/>
                <w:color w:val="auto"/>
                <w:sz w:val="24"/>
                <w:highlight w:val="none"/>
              </w:rPr>
              <w:t>为主，植被主要为市政绿化等常见</w:t>
            </w:r>
            <w:r>
              <w:rPr>
                <w:rFonts w:hint="eastAsia" w:ascii="Times New Roman" w:hAnsi="Times New Roman" w:cs="Times New Roman"/>
                <w:color w:val="auto"/>
                <w:sz w:val="24"/>
                <w:highlight w:val="none"/>
                <w:lang w:val="en-US" w:eastAsia="zh-CN"/>
              </w:rPr>
              <w:t>植物，施工结束后</w:t>
            </w:r>
            <w:r>
              <w:rPr>
                <w:rFonts w:hint="eastAsia" w:ascii="Times New Roman" w:hAnsi="Times New Roman" w:cs="Times New Roman"/>
                <w:color w:val="auto"/>
                <w:sz w:val="24"/>
                <w:highlight w:val="none"/>
                <w:lang w:eastAsia="zh-CN"/>
              </w:rPr>
              <w:t>，临时占地采取平整、绿化等措施恢复其原有土地功能，</w:t>
            </w:r>
            <w:r>
              <w:rPr>
                <w:rFonts w:hint="default" w:ascii="Times New Roman" w:hAnsi="Times New Roman" w:cs="Times New Roman"/>
                <w:color w:val="auto"/>
                <w:sz w:val="24"/>
                <w:highlight w:val="none"/>
              </w:rPr>
              <w:t>故临时占地对植被的破坏是短暂的，并随施工期的结束而逐步恢复</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对周边生态环境</w:t>
            </w:r>
            <w:r>
              <w:rPr>
                <w:rFonts w:hint="eastAsia" w:ascii="Times New Roman" w:hAnsi="Times New Roman" w:cs="Times New Roman"/>
                <w:color w:val="auto"/>
                <w:sz w:val="24"/>
                <w:highlight w:val="none"/>
                <w:lang w:val="en-US" w:eastAsia="zh-CN"/>
              </w:rPr>
              <w:t>影响较小</w:t>
            </w:r>
            <w:r>
              <w:rPr>
                <w:rFonts w:hint="default" w:ascii="Times New Roman" w:hAnsi="Times New Roman" w:cs="Times New Roman"/>
                <w:color w:val="auto"/>
                <w:sz w:val="24"/>
                <w:highlight w:val="none"/>
              </w:rPr>
              <w:t>。</w:t>
            </w:r>
          </w:p>
          <w:p w14:paraId="19C98EFE">
            <w:pPr>
              <w:adjustRightInd w:val="0"/>
              <w:snapToGrid w:val="0"/>
              <w:spacing w:line="360" w:lineRule="auto"/>
              <w:ind w:firstLine="480" w:firstLineChars="200"/>
              <w:rPr>
                <w:bCs/>
                <w:color w:val="auto"/>
                <w:sz w:val="24"/>
                <w:highlight w:val="none"/>
              </w:rPr>
            </w:pPr>
            <w:r>
              <w:rPr>
                <w:rFonts w:hint="eastAsia"/>
                <w:bCs/>
                <w:color w:val="auto"/>
                <w:sz w:val="24"/>
                <w:highlight w:val="none"/>
              </w:rPr>
              <w:t>（3）对动物的影响</w:t>
            </w:r>
          </w:p>
          <w:p w14:paraId="647F76E5">
            <w:pPr>
              <w:adjustRightInd w:val="0"/>
              <w:snapToGrid w:val="0"/>
              <w:spacing w:line="360" w:lineRule="auto"/>
              <w:ind w:firstLine="480" w:firstLineChars="200"/>
              <w:rPr>
                <w:color w:val="auto"/>
                <w:sz w:val="24"/>
                <w:highlight w:val="none"/>
              </w:rPr>
            </w:pPr>
            <w:r>
              <w:rPr>
                <w:color w:val="auto"/>
                <w:sz w:val="24"/>
                <w:highlight w:val="none"/>
              </w:rPr>
              <w:t>根据现场调查以及收资情况，</w:t>
            </w:r>
            <w:r>
              <w:rPr>
                <w:rFonts w:hint="eastAsia"/>
                <w:color w:val="auto"/>
                <w:sz w:val="24"/>
                <w:highlight w:val="none"/>
              </w:rPr>
              <w:t>项目建设区域人类活动频繁</w:t>
            </w:r>
            <w:r>
              <w:rPr>
                <w:color w:val="auto"/>
                <w:sz w:val="24"/>
                <w:highlight w:val="none"/>
              </w:rPr>
              <w:t>。</w:t>
            </w:r>
            <w:r>
              <w:rPr>
                <w:rFonts w:hint="eastAsia"/>
                <w:color w:val="auto"/>
                <w:sz w:val="24"/>
                <w:highlight w:val="none"/>
              </w:rPr>
              <w:t>线路沿线野生动物除昆虫类和少量觅食的麻雀、鼠类外，无其它野生动物分布</w:t>
            </w:r>
            <w:r>
              <w:rPr>
                <w:color w:val="auto"/>
                <w:sz w:val="24"/>
                <w:highlight w:val="none"/>
              </w:rPr>
              <w:t>。</w:t>
            </w:r>
            <w:r>
              <w:rPr>
                <w:rFonts w:hint="eastAsia"/>
                <w:color w:val="auto"/>
                <w:sz w:val="24"/>
                <w:highlight w:val="none"/>
              </w:rPr>
              <w:t>本项目</w:t>
            </w:r>
            <w:r>
              <w:rPr>
                <w:color w:val="auto"/>
                <w:sz w:val="24"/>
                <w:highlight w:val="none"/>
              </w:rPr>
              <w:t>评价范围内未发现珍稀及受保护的野生动物。</w:t>
            </w:r>
            <w:r>
              <w:rPr>
                <w:rFonts w:hint="eastAsia"/>
                <w:bCs/>
                <w:color w:val="auto"/>
                <w:sz w:val="24"/>
                <w:highlight w:val="none"/>
              </w:rPr>
              <w:t>施工期对动物的扰动是短暂的，并随施工期的结束而逐步恢复</w:t>
            </w:r>
            <w:r>
              <w:rPr>
                <w:color w:val="auto"/>
                <w:sz w:val="24"/>
                <w:highlight w:val="none"/>
              </w:rPr>
              <w:t>。因此，</w:t>
            </w:r>
            <w:r>
              <w:rPr>
                <w:rFonts w:hint="eastAsia"/>
                <w:color w:val="auto"/>
                <w:sz w:val="24"/>
                <w:highlight w:val="none"/>
              </w:rPr>
              <w:t>本项目</w:t>
            </w:r>
            <w:r>
              <w:rPr>
                <w:color w:val="auto"/>
                <w:sz w:val="24"/>
                <w:highlight w:val="none"/>
              </w:rPr>
              <w:t>的建设对动物的影响很小</w:t>
            </w:r>
            <w:r>
              <w:rPr>
                <w:rFonts w:hint="eastAsia"/>
                <w:color w:val="auto"/>
                <w:sz w:val="24"/>
                <w:highlight w:val="none"/>
              </w:rPr>
              <w:t>。</w:t>
            </w:r>
          </w:p>
          <w:p w14:paraId="46170B86">
            <w:pPr>
              <w:tabs>
                <w:tab w:val="left" w:pos="0"/>
              </w:tabs>
              <w:snapToGrid w:val="0"/>
              <w:spacing w:before="20" w:after="20" w:line="360" w:lineRule="auto"/>
              <w:rPr>
                <w:b/>
                <w:color w:val="auto"/>
                <w:sz w:val="24"/>
                <w:highlight w:val="none"/>
              </w:rPr>
            </w:pPr>
            <w:r>
              <w:rPr>
                <w:b/>
                <w:color w:val="auto"/>
                <w:sz w:val="24"/>
                <w:highlight w:val="none"/>
              </w:rPr>
              <w:t>3</w:t>
            </w:r>
            <w:r>
              <w:rPr>
                <w:rFonts w:hint="eastAsia"/>
                <w:b/>
                <w:color w:val="auto"/>
                <w:sz w:val="24"/>
                <w:highlight w:val="none"/>
              </w:rPr>
              <w:t>.声环境</w:t>
            </w:r>
          </w:p>
          <w:p w14:paraId="13FF6C1A">
            <w:pPr>
              <w:keepNext w:val="0"/>
              <w:keepLines w:val="0"/>
              <w:pageBreakBefore w:val="0"/>
              <w:widowControl w:val="0"/>
              <w:kinsoku/>
              <w:wordWrap/>
              <w:overflowPunct/>
              <w:topLinePunct w:val="0"/>
              <w:autoSpaceDE w:val="0"/>
              <w:autoSpaceDN w:val="0"/>
              <w:bidi w:val="0"/>
              <w:adjustRightInd/>
              <w:spacing w:line="360" w:lineRule="auto"/>
              <w:ind w:firstLine="542" w:firstLineChars="225"/>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（1）主要声源分析</w:t>
            </w:r>
          </w:p>
          <w:p w14:paraId="3B6C7BAE">
            <w:pPr>
              <w:keepNext w:val="0"/>
              <w:keepLines w:val="0"/>
              <w:pageBreakBefore w:val="0"/>
              <w:widowControl w:val="0"/>
              <w:kinsoku/>
              <w:wordWrap/>
              <w:overflowPunct/>
              <w:topLinePunct w:val="0"/>
              <w:autoSpaceDE w:val="0"/>
              <w:autoSpaceDN w:val="0"/>
              <w:bidi w:val="0"/>
              <w:adjustRightInd/>
              <w:spacing w:line="360" w:lineRule="auto"/>
              <w:ind w:firstLine="540" w:firstLineChars="225"/>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eastAsia="zh-CN"/>
              </w:rPr>
              <w:t>本项目</w:t>
            </w:r>
            <w:r>
              <w:rPr>
                <w:rFonts w:hint="default" w:ascii="Times New Roman" w:hAnsi="Times New Roman" w:cs="Times New Roman"/>
                <w:color w:val="auto"/>
                <w:sz w:val="24"/>
                <w:szCs w:val="24"/>
                <w:highlight w:val="none"/>
              </w:rPr>
              <w:t>输电线路主要施工活动包括材料运输、</w:t>
            </w:r>
            <w:r>
              <w:rPr>
                <w:rFonts w:hint="eastAsia" w:ascii="Times New Roman" w:hAnsi="Times New Roman" w:cs="Times New Roman"/>
                <w:color w:val="auto"/>
                <w:sz w:val="24"/>
                <w:szCs w:val="24"/>
                <w:highlight w:val="none"/>
                <w:lang w:val="en-US" w:eastAsia="zh-CN"/>
              </w:rPr>
              <w:t>电缆敷设</w:t>
            </w:r>
            <w:r>
              <w:rPr>
                <w:rFonts w:hint="default" w:ascii="Times New Roman" w:hAnsi="Times New Roman" w:cs="Times New Roman"/>
                <w:color w:val="auto"/>
                <w:sz w:val="24"/>
                <w:szCs w:val="24"/>
                <w:highlight w:val="none"/>
              </w:rPr>
              <w:t>等几个方面，主要噪声源有</w:t>
            </w:r>
            <w:r>
              <w:rPr>
                <w:rFonts w:hint="eastAsia"/>
                <w:color w:val="auto"/>
                <w:sz w:val="24"/>
                <w:szCs w:val="24"/>
                <w:highlight w:val="none"/>
              </w:rPr>
              <w:t>盘缆机及运输车辆</w:t>
            </w:r>
            <w:r>
              <w:rPr>
                <w:rFonts w:hint="default" w:ascii="Times New Roman" w:hAnsi="Times New Roman" w:cs="Times New Roman"/>
                <w:color w:val="auto"/>
                <w:sz w:val="24"/>
                <w:szCs w:val="24"/>
                <w:highlight w:val="none"/>
              </w:rPr>
              <w:t>等。</w:t>
            </w:r>
          </w:p>
          <w:p w14:paraId="36EAE35C">
            <w:pPr>
              <w:keepNext w:val="0"/>
              <w:keepLines w:val="0"/>
              <w:pageBreakBefore w:val="0"/>
              <w:widowControl w:val="0"/>
              <w:kinsoku/>
              <w:wordWrap/>
              <w:overflowPunct/>
              <w:topLinePunct w:val="0"/>
              <w:autoSpaceDN w:val="0"/>
              <w:bidi w:val="0"/>
              <w:adjustRightInd/>
              <w:spacing w:line="360" w:lineRule="auto"/>
              <w:ind w:firstLine="482" w:firstLineChars="200"/>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（2）环境影响分析</w:t>
            </w:r>
          </w:p>
          <w:p w14:paraId="17F74E2E">
            <w:pPr>
              <w:keepNext w:val="0"/>
              <w:keepLines w:val="0"/>
              <w:pageBreakBefore w:val="0"/>
              <w:widowControl w:val="0"/>
              <w:tabs>
                <w:tab w:val="left" w:pos="0"/>
              </w:tabs>
              <w:kinsoku/>
              <w:wordWrap/>
              <w:overflowPunct/>
              <w:topLinePunct w:val="0"/>
              <w:autoSpaceDE/>
              <w:autoSpaceDN/>
              <w:bidi w:val="0"/>
              <w:adjustRightInd/>
              <w:snapToGrid w:val="0"/>
              <w:spacing w:line="360" w:lineRule="auto"/>
              <w:ind w:firstLine="480" w:firstLineChars="200"/>
              <w:textAlignment w:val="auto"/>
              <w:rPr>
                <w:rFonts w:hint="eastAsia"/>
                <w:color w:val="auto"/>
                <w:sz w:val="24"/>
                <w:highlight w:val="none"/>
              </w:rPr>
            </w:pPr>
            <w:r>
              <w:rPr>
                <w:rFonts w:hint="default" w:ascii="Times New Roman" w:hAnsi="Times New Roman" w:cs="Times New Roman"/>
                <w:color w:val="auto"/>
                <w:sz w:val="24"/>
                <w:szCs w:val="24"/>
                <w:highlight w:val="none"/>
              </w:rPr>
              <w:t>工程施工过程中由于运输车辆的交通噪声、</w:t>
            </w:r>
            <w:r>
              <w:rPr>
                <w:rFonts w:hint="eastAsia"/>
                <w:color w:val="auto"/>
                <w:sz w:val="24"/>
                <w:szCs w:val="24"/>
                <w:highlight w:val="none"/>
              </w:rPr>
              <w:t>盘缆机</w:t>
            </w:r>
            <w:r>
              <w:rPr>
                <w:rFonts w:hint="default" w:ascii="Times New Roman" w:hAnsi="Times New Roman" w:cs="Times New Roman"/>
                <w:color w:val="auto"/>
                <w:sz w:val="24"/>
                <w:szCs w:val="24"/>
                <w:highlight w:val="none"/>
              </w:rPr>
              <w:t>等设备的机械噪声和施工噪声会对</w:t>
            </w:r>
            <w:r>
              <w:rPr>
                <w:rFonts w:hint="eastAsia" w:ascii="Times New Roman" w:hAnsi="Times New Roman" w:cs="Times New Roman"/>
                <w:color w:val="auto"/>
                <w:sz w:val="24"/>
                <w:szCs w:val="24"/>
                <w:highlight w:val="none"/>
                <w:lang w:val="en-US" w:eastAsia="zh-CN"/>
              </w:rPr>
              <w:t>电缆井</w:t>
            </w:r>
            <w:r>
              <w:rPr>
                <w:rFonts w:hint="default" w:ascii="Times New Roman" w:hAnsi="Times New Roman" w:cs="Times New Roman"/>
                <w:color w:val="auto"/>
                <w:sz w:val="24"/>
                <w:szCs w:val="24"/>
                <w:highlight w:val="none"/>
              </w:rPr>
              <w:t>附近一定范围内的声环境产生不利影响，对附近居民的生产、生活产生一定影响。</w:t>
            </w:r>
            <w:r>
              <w:rPr>
                <w:rFonts w:hint="eastAsia"/>
                <w:color w:val="auto"/>
                <w:sz w:val="24"/>
                <w:highlight w:val="none"/>
              </w:rPr>
              <w:t>根据电缆输电线路施工特点，各施工点施工量小，施工时间短。线路工程一般均为昼间施工，夜间一般不施工。</w:t>
            </w:r>
            <w:r>
              <w:rPr>
                <w:rFonts w:hint="eastAsia"/>
                <w:color w:val="auto"/>
                <w:sz w:val="24"/>
                <w:szCs w:val="24"/>
                <w:highlight w:val="none"/>
                <w:lang w:val="en-US" w:eastAsia="zh-CN"/>
              </w:rPr>
              <w:t>本项目电缆线路沿线受交通噪声影响较大，牵引电缆的盘缆机运行噪声较小，且运行时间较短。</w:t>
            </w:r>
            <w:r>
              <w:rPr>
                <w:rFonts w:hint="eastAsia"/>
                <w:color w:val="auto"/>
                <w:sz w:val="24"/>
                <w:highlight w:val="none"/>
              </w:rPr>
              <w:t>施工现场采取围挡等措施，</w:t>
            </w:r>
            <w:r>
              <w:rPr>
                <w:rFonts w:hint="eastAsia"/>
                <w:color w:val="auto"/>
                <w:sz w:val="24"/>
                <w:szCs w:val="24"/>
                <w:highlight w:val="none"/>
                <w:lang w:val="en-US" w:eastAsia="zh-CN"/>
              </w:rPr>
              <w:t>施工噪声经</w:t>
            </w:r>
            <w:r>
              <w:rPr>
                <w:rFonts w:hint="default" w:ascii="Times New Roman" w:hAnsi="Times New Roman" w:eastAsia="宋体" w:cs="Times New Roman"/>
                <w:color w:val="auto"/>
                <w:sz w:val="24"/>
                <w:szCs w:val="24"/>
                <w:highlight w:val="none"/>
                <w:lang w:val="en-US" w:eastAsia="zh-CN"/>
              </w:rPr>
              <w:t>距离衰减后，对周围声环境影响</w:t>
            </w:r>
            <w:r>
              <w:rPr>
                <w:rFonts w:hint="eastAsia" w:ascii="Times New Roman" w:hAnsi="Times New Roman" w:eastAsia="宋体" w:cs="Times New Roman"/>
                <w:color w:val="auto"/>
                <w:sz w:val="24"/>
                <w:szCs w:val="24"/>
                <w:highlight w:val="none"/>
                <w:lang w:val="en-US" w:eastAsia="zh-CN"/>
              </w:rPr>
              <w:t>很</w:t>
            </w:r>
            <w:r>
              <w:rPr>
                <w:rFonts w:hint="default" w:ascii="Times New Roman" w:hAnsi="Times New Roman" w:eastAsia="宋体" w:cs="Times New Roman"/>
                <w:color w:val="auto"/>
                <w:sz w:val="24"/>
                <w:szCs w:val="24"/>
                <w:highlight w:val="none"/>
                <w:lang w:val="en-US" w:eastAsia="zh-CN"/>
              </w:rPr>
              <w:t>小</w:t>
            </w:r>
            <w:r>
              <w:rPr>
                <w:rFonts w:hint="eastAsia" w:ascii="Times New Roman" w:hAnsi="Times New Roman" w:eastAsia="宋体" w:cs="Times New Roman"/>
                <w:color w:val="auto"/>
                <w:sz w:val="24"/>
                <w:highlight w:val="none"/>
                <w:lang w:eastAsia="zh-CN"/>
              </w:rPr>
              <w:t>。</w:t>
            </w:r>
            <w:r>
              <w:rPr>
                <w:rFonts w:hint="eastAsia"/>
                <w:color w:val="auto"/>
                <w:sz w:val="24"/>
                <w:highlight w:val="none"/>
              </w:rPr>
              <w:t>施工结束，施工噪声影响亦会结束。</w:t>
            </w:r>
          </w:p>
          <w:p w14:paraId="3AA2DFF3">
            <w:pPr>
              <w:keepNext w:val="0"/>
              <w:keepLines w:val="0"/>
              <w:pageBreakBefore w:val="0"/>
              <w:widowControl w:val="0"/>
              <w:tabs>
                <w:tab w:val="left" w:pos="0"/>
              </w:tabs>
              <w:kinsoku/>
              <w:wordWrap/>
              <w:overflowPunct/>
              <w:topLinePunct w:val="0"/>
              <w:autoSpaceDE/>
              <w:autoSpaceDN/>
              <w:bidi w:val="0"/>
              <w:adjustRightInd/>
              <w:snapToGrid w:val="0"/>
              <w:spacing w:line="360" w:lineRule="auto"/>
              <w:ind w:firstLine="480" w:firstLineChars="200"/>
              <w:textAlignment w:val="auto"/>
              <w:rPr>
                <w:rFonts w:hint="eastAsia"/>
                <w:color w:val="auto"/>
                <w:sz w:val="24"/>
                <w:highlight w:val="none"/>
              </w:rPr>
            </w:pPr>
            <w:r>
              <w:rPr>
                <w:rFonts w:hint="eastAsia"/>
                <w:color w:val="auto"/>
                <w:sz w:val="24"/>
                <w:highlight w:val="none"/>
                <w:lang w:val="en-US" w:eastAsia="zh-CN"/>
              </w:rPr>
              <w:t>本项目架空线路跳线段断开原有导线后，重新跳线连接，不新建杆塔，</w:t>
            </w:r>
            <w:r>
              <w:rPr>
                <w:color w:val="auto"/>
                <w:sz w:val="24"/>
                <w:highlight w:val="none"/>
              </w:rPr>
              <w:t>采用</w:t>
            </w:r>
            <w:r>
              <w:rPr>
                <w:rFonts w:hint="eastAsia"/>
                <w:color w:val="auto"/>
                <w:sz w:val="24"/>
                <w:highlight w:val="none"/>
                <w:lang w:val="en-US" w:eastAsia="zh-CN"/>
              </w:rPr>
              <w:t>人工</w:t>
            </w:r>
            <w:r>
              <w:rPr>
                <w:color w:val="auto"/>
                <w:sz w:val="24"/>
                <w:highlight w:val="none"/>
              </w:rPr>
              <w:t>放线工艺</w:t>
            </w:r>
            <w:r>
              <w:rPr>
                <w:rFonts w:hint="eastAsia"/>
                <w:color w:val="auto"/>
                <w:sz w:val="24"/>
                <w:highlight w:val="none"/>
                <w:lang w:eastAsia="zh-CN"/>
              </w:rPr>
              <w:t>，</w:t>
            </w:r>
            <w:r>
              <w:rPr>
                <w:rFonts w:hint="eastAsia"/>
                <w:color w:val="auto"/>
                <w:sz w:val="24"/>
                <w:highlight w:val="none"/>
                <w:lang w:val="en-US" w:eastAsia="zh-CN"/>
              </w:rPr>
              <w:t>人工</w:t>
            </w:r>
            <w:r>
              <w:rPr>
                <w:color w:val="auto"/>
                <w:sz w:val="24"/>
                <w:highlight w:val="none"/>
              </w:rPr>
              <w:t>展放牵引绳</w:t>
            </w:r>
            <w:r>
              <w:rPr>
                <w:b w:val="0"/>
                <w:bCs w:val="0"/>
                <w:color w:val="auto"/>
                <w:sz w:val="24"/>
                <w:highlight w:val="none"/>
              </w:rPr>
              <w:t>，牵引绳</w:t>
            </w:r>
            <w:r>
              <w:rPr>
                <w:rFonts w:hint="default" w:ascii="Segoe UI" w:hAnsi="Segoe UI" w:eastAsia="Segoe UI" w:cs="Segoe UI"/>
                <w:b w:val="0"/>
                <w:bCs w:val="0"/>
                <w:i w:val="0"/>
                <w:iCs w:val="0"/>
                <w:caps w:val="0"/>
                <w:color w:val="auto"/>
                <w:spacing w:val="0"/>
                <w:sz w:val="24"/>
                <w:szCs w:val="24"/>
                <w:highlight w:val="none"/>
                <w:shd w:val="clear" w:fill="FFFFFF"/>
              </w:rPr>
              <w:t>导引</w:t>
            </w:r>
            <w:r>
              <w:rPr>
                <w:b w:val="0"/>
                <w:bCs w:val="0"/>
                <w:color w:val="auto"/>
                <w:sz w:val="24"/>
                <w:highlight w:val="none"/>
              </w:rPr>
              <w:t>导线</w:t>
            </w:r>
            <w:r>
              <w:rPr>
                <w:rFonts w:hint="eastAsia"/>
                <w:b w:val="0"/>
                <w:bCs w:val="0"/>
                <w:color w:val="auto"/>
                <w:sz w:val="24"/>
                <w:highlight w:val="none"/>
              </w:rPr>
              <w:t>展放</w:t>
            </w:r>
            <w:r>
              <w:rPr>
                <w:rFonts w:hint="eastAsia"/>
                <w:color w:val="auto"/>
                <w:sz w:val="24"/>
                <w:highlight w:val="none"/>
                <w:lang w:val="en-US" w:eastAsia="zh-CN"/>
              </w:rPr>
              <w:t>。本项目新建的1基终端塔位于河北站站内。</w:t>
            </w:r>
            <w:r>
              <w:rPr>
                <w:rFonts w:hint="eastAsia"/>
                <w:color w:val="auto"/>
                <w:sz w:val="24"/>
                <w:highlight w:val="none"/>
              </w:rPr>
              <w:t>根据</w:t>
            </w:r>
            <w:r>
              <w:rPr>
                <w:rFonts w:hint="eastAsia"/>
                <w:color w:val="auto"/>
                <w:sz w:val="24"/>
                <w:highlight w:val="none"/>
                <w:lang w:val="en-US" w:eastAsia="zh-CN"/>
              </w:rPr>
              <w:t>本项目架空</w:t>
            </w:r>
            <w:r>
              <w:rPr>
                <w:rFonts w:hint="eastAsia"/>
                <w:color w:val="auto"/>
                <w:sz w:val="24"/>
                <w:highlight w:val="none"/>
              </w:rPr>
              <w:t>输电线路塔基</w:t>
            </w:r>
            <w:r>
              <w:rPr>
                <w:rFonts w:hint="eastAsia"/>
                <w:color w:val="auto"/>
                <w:sz w:val="24"/>
                <w:highlight w:val="none"/>
                <w:lang w:eastAsia="zh-CN"/>
              </w:rPr>
              <w:t>、</w:t>
            </w:r>
            <w:r>
              <w:rPr>
                <w:rFonts w:hint="eastAsia"/>
                <w:color w:val="auto"/>
                <w:sz w:val="24"/>
                <w:highlight w:val="none"/>
                <w:lang w:val="en-US" w:eastAsia="zh-CN"/>
              </w:rPr>
              <w:t>跳线</w:t>
            </w:r>
            <w:r>
              <w:rPr>
                <w:rFonts w:hint="eastAsia"/>
                <w:color w:val="auto"/>
                <w:sz w:val="24"/>
                <w:highlight w:val="none"/>
              </w:rPr>
              <w:t>施工特点，各施工点施工量小，施工时间短，以人工为主，施工机械少，噪声源相对较小</w:t>
            </w:r>
            <w:r>
              <w:rPr>
                <w:rFonts w:hint="eastAsia"/>
                <w:color w:val="auto"/>
                <w:sz w:val="24"/>
                <w:highlight w:val="none"/>
                <w:lang w:eastAsia="zh-CN"/>
              </w:rPr>
              <w:t>。</w:t>
            </w:r>
            <w:r>
              <w:rPr>
                <w:rFonts w:hint="eastAsia"/>
                <w:color w:val="auto"/>
                <w:sz w:val="24"/>
                <w:highlight w:val="none"/>
                <w:lang w:val="en-US" w:eastAsia="zh-CN"/>
              </w:rPr>
              <w:t>施工期间，施工单位</w:t>
            </w:r>
            <w:r>
              <w:rPr>
                <w:rFonts w:hint="eastAsia"/>
                <w:color w:val="auto"/>
                <w:sz w:val="24"/>
                <w:highlight w:val="none"/>
              </w:rPr>
              <w:t>合理安排施工时间，在设备选型时选用符合国家标准的低噪声施工设备</w:t>
            </w:r>
            <w:r>
              <w:rPr>
                <w:rFonts w:hint="default" w:ascii="Times New Roman" w:hAnsi="Times New Roman" w:eastAsia="宋体" w:cs="Times New Roman"/>
                <w:color w:val="auto"/>
                <w:sz w:val="24"/>
                <w:szCs w:val="24"/>
                <w:highlight w:val="none"/>
                <w:lang w:val="en-US" w:eastAsia="zh-CN"/>
              </w:rPr>
              <w:t>，对周围声环境影响</w:t>
            </w:r>
            <w:r>
              <w:rPr>
                <w:rFonts w:hint="eastAsia" w:ascii="Times New Roman" w:hAnsi="Times New Roman" w:eastAsia="宋体" w:cs="Times New Roman"/>
                <w:color w:val="auto"/>
                <w:sz w:val="24"/>
                <w:szCs w:val="24"/>
                <w:highlight w:val="none"/>
                <w:lang w:val="en-US" w:eastAsia="zh-CN"/>
              </w:rPr>
              <w:t>很</w:t>
            </w:r>
            <w:r>
              <w:rPr>
                <w:rFonts w:hint="default" w:ascii="Times New Roman" w:hAnsi="Times New Roman" w:eastAsia="宋体" w:cs="Times New Roman"/>
                <w:color w:val="auto"/>
                <w:sz w:val="24"/>
                <w:szCs w:val="24"/>
                <w:highlight w:val="none"/>
                <w:lang w:val="en-US" w:eastAsia="zh-CN"/>
              </w:rPr>
              <w:t>小</w:t>
            </w:r>
            <w:r>
              <w:rPr>
                <w:rFonts w:hint="eastAsia"/>
                <w:color w:val="auto"/>
                <w:sz w:val="24"/>
                <w:highlight w:val="none"/>
                <w:lang w:val="en-US" w:eastAsia="zh-CN"/>
              </w:rPr>
              <w:t>。</w:t>
            </w:r>
            <w:r>
              <w:rPr>
                <w:rFonts w:hint="eastAsia"/>
                <w:color w:val="auto"/>
                <w:sz w:val="24"/>
                <w:highlight w:val="none"/>
              </w:rPr>
              <w:t>施工结束，施工噪声影响亦会结束。</w:t>
            </w:r>
          </w:p>
          <w:p w14:paraId="13E68D3F">
            <w:pPr>
              <w:keepNext w:val="0"/>
              <w:keepLines w:val="0"/>
              <w:pageBreakBefore w:val="0"/>
              <w:widowControl w:val="0"/>
              <w:tabs>
                <w:tab w:val="left" w:pos="0"/>
              </w:tabs>
              <w:kinsoku/>
              <w:wordWrap/>
              <w:overflowPunct/>
              <w:topLinePunct w:val="0"/>
              <w:autoSpaceDE/>
              <w:autoSpaceDN/>
              <w:bidi w:val="0"/>
              <w:adjustRightInd/>
              <w:snapToGrid w:val="0"/>
              <w:spacing w:line="360" w:lineRule="auto"/>
              <w:textAlignment w:val="auto"/>
              <w:rPr>
                <w:b/>
                <w:color w:val="auto"/>
                <w:sz w:val="24"/>
                <w:highlight w:val="none"/>
              </w:rPr>
            </w:pPr>
            <w:r>
              <w:rPr>
                <w:b/>
                <w:color w:val="auto"/>
                <w:sz w:val="24"/>
                <w:highlight w:val="none"/>
              </w:rPr>
              <w:t>4</w:t>
            </w:r>
            <w:r>
              <w:rPr>
                <w:rFonts w:hint="eastAsia"/>
                <w:b/>
                <w:color w:val="auto"/>
                <w:sz w:val="24"/>
                <w:highlight w:val="none"/>
              </w:rPr>
              <w:t>.施工扬尘</w:t>
            </w:r>
          </w:p>
          <w:p w14:paraId="0EC56588">
            <w:pPr>
              <w:tabs>
                <w:tab w:val="left" w:pos="0"/>
              </w:tabs>
              <w:snapToGrid w:val="0"/>
              <w:spacing w:before="20" w:after="20" w:line="360" w:lineRule="auto"/>
              <w:rPr>
                <w:b/>
                <w:color w:val="auto"/>
                <w:sz w:val="24"/>
                <w:highlight w:val="none"/>
              </w:rPr>
            </w:pPr>
            <w:r>
              <w:rPr>
                <w:b/>
                <w:color w:val="auto"/>
                <w:sz w:val="24"/>
                <w:highlight w:val="none"/>
              </w:rPr>
              <w:t>4</w:t>
            </w:r>
            <w:r>
              <w:rPr>
                <w:rFonts w:hint="eastAsia"/>
                <w:b/>
                <w:color w:val="auto"/>
                <w:sz w:val="24"/>
                <w:highlight w:val="none"/>
              </w:rPr>
              <w:t>.1施工扬尘污染源</w:t>
            </w:r>
          </w:p>
          <w:p w14:paraId="47250681">
            <w:pPr>
              <w:spacing w:line="360" w:lineRule="auto"/>
              <w:ind w:firstLine="480" w:firstLineChars="200"/>
              <w:rPr>
                <w:bCs/>
                <w:color w:val="auto"/>
                <w:sz w:val="24"/>
                <w:highlight w:val="none"/>
              </w:rPr>
            </w:pPr>
            <w:r>
              <w:rPr>
                <w:rFonts w:hint="eastAsia"/>
                <w:bCs/>
                <w:color w:val="auto"/>
                <w:sz w:val="24"/>
                <w:highlight w:val="none"/>
              </w:rPr>
              <w:t>施工扬尘主要来</w:t>
            </w:r>
            <w:r>
              <w:rPr>
                <w:rFonts w:hint="eastAsia"/>
                <w:bCs/>
                <w:color w:val="auto"/>
                <w:sz w:val="24"/>
                <w:highlight w:val="none"/>
                <w:lang w:val="en-US" w:eastAsia="zh-CN"/>
              </w:rPr>
              <w:t>电缆沟、电缆终端塔</w:t>
            </w:r>
            <w:r>
              <w:rPr>
                <w:rFonts w:hint="eastAsia"/>
                <w:bCs/>
                <w:color w:val="auto"/>
                <w:sz w:val="24"/>
                <w:highlight w:val="none"/>
              </w:rPr>
              <w:t>在施工中的土方挖掘、建筑装修材料的运输装卸、施工现场内车辆行驶时道路扬尘等。</w:t>
            </w:r>
          </w:p>
          <w:p w14:paraId="121699FB">
            <w:pPr>
              <w:tabs>
                <w:tab w:val="left" w:pos="0"/>
              </w:tabs>
              <w:snapToGrid w:val="0"/>
              <w:spacing w:before="20" w:after="20" w:line="360" w:lineRule="auto"/>
              <w:rPr>
                <w:b/>
                <w:color w:val="auto"/>
                <w:sz w:val="24"/>
                <w:highlight w:val="none"/>
              </w:rPr>
            </w:pPr>
            <w:r>
              <w:rPr>
                <w:b/>
                <w:color w:val="auto"/>
                <w:sz w:val="24"/>
                <w:highlight w:val="none"/>
              </w:rPr>
              <w:t>4</w:t>
            </w:r>
            <w:r>
              <w:rPr>
                <w:rFonts w:hint="eastAsia"/>
                <w:b/>
                <w:color w:val="auto"/>
                <w:sz w:val="24"/>
                <w:highlight w:val="none"/>
              </w:rPr>
              <w:t>.2施工扬尘</w:t>
            </w:r>
            <w:r>
              <w:rPr>
                <w:b/>
                <w:color w:val="auto"/>
                <w:sz w:val="24"/>
                <w:highlight w:val="none"/>
              </w:rPr>
              <w:t>影响分析</w:t>
            </w:r>
          </w:p>
          <w:p w14:paraId="634432F0">
            <w:pPr>
              <w:spacing w:line="360" w:lineRule="auto"/>
              <w:ind w:firstLine="480" w:firstLineChars="200"/>
              <w:rPr>
                <w:rFonts w:hint="default" w:eastAsia="宋体"/>
                <w:bCs/>
                <w:color w:val="auto"/>
                <w:sz w:val="24"/>
                <w:highlight w:val="none"/>
                <w:lang w:val="en-US" w:eastAsia="zh-CN"/>
              </w:rPr>
            </w:pPr>
            <w:r>
              <w:rPr>
                <w:rFonts w:hint="eastAsia" w:ascii="Times New Roman" w:hAnsi="Times New Roman" w:cs="Times New Roman"/>
                <w:color w:val="auto"/>
                <w:sz w:val="24"/>
                <w:highlight w:val="none"/>
                <w:lang w:val="en-US" w:eastAsia="zh-CN"/>
              </w:rPr>
              <w:t>输电线路施工期间电缆沟</w:t>
            </w:r>
            <w:r>
              <w:rPr>
                <w:rFonts w:hint="eastAsia" w:cs="Times New Roman"/>
                <w:color w:val="auto"/>
                <w:sz w:val="24"/>
                <w:highlight w:val="none"/>
                <w:lang w:val="en-US" w:eastAsia="zh-CN"/>
              </w:rPr>
              <w:t>、电缆终端塔</w:t>
            </w:r>
            <w:r>
              <w:rPr>
                <w:rFonts w:hint="eastAsia" w:ascii="Times New Roman" w:hAnsi="Times New Roman" w:cs="Times New Roman"/>
                <w:color w:val="auto"/>
                <w:sz w:val="24"/>
                <w:highlight w:val="none"/>
                <w:lang w:val="en-US" w:eastAsia="zh-CN"/>
              </w:rPr>
              <w:t>开挖、电缆线路</w:t>
            </w:r>
            <w:r>
              <w:rPr>
                <w:rFonts w:hint="default" w:ascii="Times New Roman" w:hAnsi="Times New Roman" w:cs="Times New Roman"/>
                <w:color w:val="auto"/>
                <w:sz w:val="24"/>
                <w:highlight w:val="none"/>
              </w:rPr>
              <w:t>材料进场</w:t>
            </w:r>
            <w:r>
              <w:rPr>
                <w:rFonts w:hint="eastAsia" w:ascii="Times New Roman" w:hAnsi="Times New Roman" w:cs="Times New Roman"/>
                <w:color w:val="auto"/>
                <w:sz w:val="24"/>
                <w:highlight w:val="none"/>
                <w:lang w:eastAsia="zh-CN"/>
              </w:rPr>
              <w:t>等</w:t>
            </w:r>
            <w:r>
              <w:rPr>
                <w:rFonts w:hint="default" w:ascii="Times New Roman" w:hAnsi="Times New Roman" w:cs="Times New Roman"/>
                <w:color w:val="auto"/>
                <w:sz w:val="24"/>
                <w:highlight w:val="none"/>
              </w:rPr>
              <w:t>过程中产生的</w:t>
            </w:r>
            <w:r>
              <w:rPr>
                <w:rFonts w:hint="eastAsia" w:ascii="Times New Roman" w:hAnsi="Times New Roman" w:cs="Times New Roman"/>
                <w:color w:val="auto"/>
                <w:sz w:val="24"/>
                <w:highlight w:val="none"/>
                <w:lang w:val="en-US" w:eastAsia="zh-CN"/>
              </w:rPr>
              <w:t>少量</w:t>
            </w:r>
            <w:r>
              <w:rPr>
                <w:rFonts w:hint="default" w:ascii="Times New Roman" w:hAnsi="Times New Roman" w:cs="Times New Roman"/>
                <w:color w:val="auto"/>
                <w:sz w:val="24"/>
                <w:highlight w:val="none"/>
              </w:rPr>
              <w:t>扬尘对</w:t>
            </w:r>
            <w:r>
              <w:rPr>
                <w:rFonts w:hint="eastAsia" w:ascii="Times New Roman" w:hAnsi="Times New Roman" w:cs="Times New Roman"/>
                <w:color w:val="auto"/>
                <w:sz w:val="24"/>
                <w:highlight w:val="none"/>
                <w:lang w:val="en-US" w:eastAsia="zh-CN"/>
              </w:rPr>
              <w:t>施工临时场地</w:t>
            </w:r>
            <w:r>
              <w:rPr>
                <w:rFonts w:hint="default" w:ascii="Times New Roman" w:hAnsi="Times New Roman" w:cs="Times New Roman"/>
                <w:color w:val="auto"/>
                <w:sz w:val="24"/>
                <w:highlight w:val="none"/>
              </w:rPr>
              <w:t>周围及途经道路局部空气质量造成影响，但由于施工时间较短，通过拦挡、苫盖、洒水等施工管理措施可以有效减小施工产生的扬尘影响，对周围大气环境影响不大。</w:t>
            </w:r>
            <w:r>
              <w:rPr>
                <w:rFonts w:hint="eastAsia" w:ascii="Times New Roman" w:hAnsi="Times New Roman" w:cs="Times New Roman"/>
                <w:color w:val="auto"/>
                <w:sz w:val="24"/>
                <w:highlight w:val="none"/>
                <w:lang w:val="en-US" w:eastAsia="zh-CN"/>
              </w:rPr>
              <w:t>利用市政已建电缆通道敷设段，本期仅敷设电缆线路，不涉及土建工程，电缆敷设过程中基本无施工扬尘影响。</w:t>
            </w:r>
          </w:p>
          <w:p w14:paraId="01200987">
            <w:pPr>
              <w:tabs>
                <w:tab w:val="left" w:pos="0"/>
              </w:tabs>
              <w:snapToGrid w:val="0"/>
              <w:spacing w:before="120" w:line="360" w:lineRule="auto"/>
              <w:rPr>
                <w:b/>
                <w:color w:val="auto"/>
                <w:sz w:val="24"/>
                <w:highlight w:val="none"/>
              </w:rPr>
            </w:pPr>
            <w:r>
              <w:rPr>
                <w:b/>
                <w:color w:val="auto"/>
                <w:sz w:val="24"/>
                <w:highlight w:val="none"/>
              </w:rPr>
              <w:t>5</w:t>
            </w:r>
            <w:r>
              <w:rPr>
                <w:rFonts w:hint="eastAsia"/>
                <w:b/>
                <w:color w:val="auto"/>
                <w:sz w:val="24"/>
                <w:highlight w:val="none"/>
              </w:rPr>
              <w:t>.固体废物</w:t>
            </w:r>
          </w:p>
          <w:p w14:paraId="451A35EB">
            <w:pPr>
              <w:tabs>
                <w:tab w:val="left" w:pos="0"/>
              </w:tabs>
              <w:snapToGrid w:val="0"/>
              <w:spacing w:before="20" w:after="20" w:line="360" w:lineRule="auto"/>
              <w:rPr>
                <w:b/>
                <w:color w:val="auto"/>
                <w:sz w:val="24"/>
                <w:highlight w:val="none"/>
              </w:rPr>
            </w:pPr>
            <w:r>
              <w:rPr>
                <w:b/>
                <w:color w:val="auto"/>
                <w:sz w:val="24"/>
                <w:highlight w:val="none"/>
              </w:rPr>
              <w:t>5</w:t>
            </w:r>
            <w:r>
              <w:rPr>
                <w:rFonts w:hint="eastAsia"/>
                <w:b/>
                <w:color w:val="auto"/>
                <w:sz w:val="24"/>
                <w:highlight w:val="none"/>
              </w:rPr>
              <w:t>.1固废污染源</w:t>
            </w:r>
          </w:p>
          <w:p w14:paraId="40BA437C">
            <w:pPr>
              <w:autoSpaceDN w:val="0"/>
              <w:spacing w:line="336" w:lineRule="auto"/>
              <w:ind w:firstLine="480"/>
              <w:rPr>
                <w:bCs/>
                <w:color w:val="auto"/>
                <w:sz w:val="24"/>
                <w:highlight w:val="none"/>
              </w:rPr>
            </w:pPr>
            <w:r>
              <w:rPr>
                <w:rFonts w:hint="eastAsia"/>
                <w:bCs/>
                <w:color w:val="auto"/>
                <w:sz w:val="24"/>
                <w:highlight w:val="none"/>
              </w:rPr>
              <w:t>施工期固</w:t>
            </w:r>
            <w:r>
              <w:rPr>
                <w:bCs/>
                <w:color w:val="auto"/>
                <w:sz w:val="24"/>
                <w:highlight w:val="none"/>
              </w:rPr>
              <w:t>体废物主要为</w:t>
            </w:r>
            <w:r>
              <w:rPr>
                <w:rFonts w:hint="eastAsia"/>
                <w:bCs/>
                <w:color w:val="auto"/>
                <w:sz w:val="24"/>
                <w:highlight w:val="none"/>
                <w:lang w:val="en-US" w:eastAsia="zh-CN"/>
              </w:rPr>
              <w:t>电缆沟、电缆终端塔</w:t>
            </w:r>
            <w:r>
              <w:rPr>
                <w:bCs/>
                <w:color w:val="auto"/>
                <w:sz w:val="24"/>
                <w:highlight w:val="none"/>
              </w:rPr>
              <w:t>施工产生的弃土弃渣、</w:t>
            </w:r>
            <w:r>
              <w:rPr>
                <w:rFonts w:hint="eastAsia"/>
                <w:bCs/>
                <w:color w:val="auto"/>
                <w:sz w:val="24"/>
                <w:highlight w:val="none"/>
              </w:rPr>
              <w:t>施工废物料，以及</w:t>
            </w:r>
            <w:r>
              <w:rPr>
                <w:bCs/>
                <w:color w:val="auto"/>
                <w:sz w:val="24"/>
                <w:highlight w:val="none"/>
              </w:rPr>
              <w:t>施工人员产生</w:t>
            </w:r>
            <w:r>
              <w:rPr>
                <w:bCs/>
                <w:color w:val="auto"/>
                <w:sz w:val="24"/>
                <w:szCs w:val="24"/>
                <w:highlight w:val="none"/>
              </w:rPr>
              <w:t>的生活垃圾。</w:t>
            </w:r>
          </w:p>
          <w:p w14:paraId="41787944">
            <w:pPr>
              <w:tabs>
                <w:tab w:val="left" w:pos="0"/>
              </w:tabs>
              <w:snapToGrid w:val="0"/>
              <w:spacing w:before="20" w:after="20" w:line="360" w:lineRule="auto"/>
              <w:rPr>
                <w:b/>
                <w:color w:val="auto"/>
                <w:sz w:val="24"/>
                <w:highlight w:val="none"/>
              </w:rPr>
            </w:pPr>
            <w:r>
              <w:rPr>
                <w:b/>
                <w:color w:val="auto"/>
                <w:sz w:val="24"/>
                <w:highlight w:val="none"/>
              </w:rPr>
              <w:t>5</w:t>
            </w:r>
            <w:r>
              <w:rPr>
                <w:rFonts w:hint="eastAsia"/>
                <w:b/>
                <w:color w:val="auto"/>
                <w:sz w:val="24"/>
                <w:highlight w:val="none"/>
              </w:rPr>
              <w:t>.2固体废物</w:t>
            </w:r>
            <w:r>
              <w:rPr>
                <w:b/>
                <w:color w:val="auto"/>
                <w:sz w:val="24"/>
                <w:highlight w:val="none"/>
              </w:rPr>
              <w:t>影响分析</w:t>
            </w:r>
          </w:p>
          <w:p w14:paraId="726298AD">
            <w:pPr>
              <w:autoSpaceDN w:val="0"/>
              <w:spacing w:line="360" w:lineRule="auto"/>
              <w:ind w:firstLine="482" w:firstLineChars="200"/>
              <w:rPr>
                <w:b/>
                <w:bCs/>
                <w:color w:val="auto"/>
                <w:sz w:val="24"/>
                <w:highlight w:val="none"/>
              </w:rPr>
            </w:pPr>
            <w:r>
              <w:rPr>
                <w:rFonts w:hint="eastAsia"/>
                <w:b/>
                <w:bCs/>
                <w:color w:val="auto"/>
                <w:sz w:val="24"/>
                <w:highlight w:val="none"/>
              </w:rPr>
              <w:t>（1）</w:t>
            </w:r>
            <w:r>
              <w:rPr>
                <w:b/>
                <w:bCs/>
                <w:color w:val="auto"/>
                <w:sz w:val="24"/>
                <w:highlight w:val="none"/>
              </w:rPr>
              <w:t>施工人员生活垃圾</w:t>
            </w:r>
          </w:p>
          <w:p w14:paraId="3CA6E7A6">
            <w:pPr>
              <w:autoSpaceDN w:val="0"/>
              <w:spacing w:line="360" w:lineRule="auto"/>
              <w:ind w:firstLine="482"/>
              <w:rPr>
                <w:color w:val="auto"/>
                <w:sz w:val="24"/>
                <w:highlight w:val="none"/>
              </w:rPr>
            </w:pPr>
            <w:r>
              <w:rPr>
                <w:color w:val="auto"/>
                <w:sz w:val="24"/>
                <w:highlight w:val="none"/>
              </w:rPr>
              <w:t>根据项目分析，输电线路施工属移动式施工，施工人员较少，一般租用当地民房，停留时间较短，施工人员产生的生活垃圾可经租住地点垃圾收集系统收集后清运至政府指定地点，对周边环境影响较小。</w:t>
            </w:r>
          </w:p>
          <w:p w14:paraId="6A119F5F">
            <w:pPr>
              <w:autoSpaceDN w:val="0"/>
              <w:spacing w:line="360" w:lineRule="auto"/>
              <w:ind w:firstLine="482" w:firstLineChars="200"/>
              <w:rPr>
                <w:b/>
                <w:bCs/>
                <w:color w:val="auto"/>
                <w:sz w:val="24"/>
                <w:highlight w:val="none"/>
              </w:rPr>
            </w:pPr>
            <w:r>
              <w:rPr>
                <w:rFonts w:hint="eastAsia"/>
                <w:b/>
                <w:bCs/>
                <w:color w:val="auto"/>
                <w:sz w:val="24"/>
                <w:highlight w:val="none"/>
              </w:rPr>
              <w:t>（2）</w:t>
            </w:r>
            <w:r>
              <w:rPr>
                <w:b/>
                <w:bCs/>
                <w:color w:val="auto"/>
                <w:sz w:val="24"/>
                <w:highlight w:val="none"/>
              </w:rPr>
              <w:t>弃土弃渣</w:t>
            </w:r>
          </w:p>
          <w:p w14:paraId="627B8F8B">
            <w:pPr>
              <w:autoSpaceDE w:val="0"/>
              <w:autoSpaceDN w:val="0"/>
              <w:adjustRightInd w:val="0"/>
              <w:spacing w:line="360" w:lineRule="auto"/>
              <w:ind w:firstLine="480" w:firstLineChars="200"/>
              <w:rPr>
                <w:color w:val="auto"/>
                <w:sz w:val="24"/>
                <w:szCs w:val="24"/>
                <w:highlight w:val="none"/>
              </w:rPr>
            </w:pPr>
            <w:r>
              <w:rPr>
                <w:snapToGrid w:val="0"/>
                <w:color w:val="auto"/>
                <w:kern w:val="0"/>
                <w:sz w:val="24"/>
                <w:szCs w:val="24"/>
                <w:highlight w:val="none"/>
              </w:rPr>
              <w:t>根据设计资料，</w:t>
            </w:r>
            <w:r>
              <w:rPr>
                <w:color w:val="auto"/>
                <w:sz w:val="24"/>
                <w:szCs w:val="24"/>
                <w:highlight w:val="none"/>
              </w:rPr>
              <w:t>线路工程</w:t>
            </w:r>
            <w:r>
              <w:rPr>
                <w:rFonts w:hint="default" w:ascii="Times New Roman" w:hAnsi="Times New Roman" w:cs="Times New Roman"/>
                <w:color w:val="auto"/>
                <w:sz w:val="24"/>
                <w:szCs w:val="24"/>
                <w:highlight w:val="none"/>
              </w:rPr>
              <w:t>总挖方约</w:t>
            </w:r>
            <w:r>
              <w:rPr>
                <w:rFonts w:hint="eastAsia" w:cs="Times New Roman"/>
                <w:color w:val="auto"/>
                <w:sz w:val="24"/>
                <w:highlight w:val="none"/>
                <w:lang w:val="en-US" w:eastAsia="zh-CN"/>
              </w:rPr>
              <w:t>300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含表土</w:t>
            </w:r>
            <w:r>
              <w:rPr>
                <w:rFonts w:hint="eastAsia"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0m</w:t>
            </w:r>
            <w:r>
              <w:rPr>
                <w:rFonts w:hint="default" w:ascii="Times New Roman" w:hAnsi="Times New Roman" w:cs="Times New Roman"/>
                <w:color w:val="auto"/>
                <w:sz w:val="24"/>
                <w:szCs w:val="24"/>
                <w:highlight w:val="none"/>
                <w:vertAlign w:val="superscript"/>
              </w:rPr>
              <w:t>3</w:t>
            </w:r>
            <w:r>
              <w:rPr>
                <w:rFonts w:hint="eastAsia" w:cs="Times New Roman"/>
                <w:color w:val="auto"/>
                <w:sz w:val="24"/>
                <w:szCs w:val="24"/>
                <w:highlight w:val="none"/>
                <w:vertAlign w:val="baseline"/>
                <w:lang w:eastAsia="zh-CN"/>
              </w:rPr>
              <w:t>）</w:t>
            </w:r>
            <w:r>
              <w:rPr>
                <w:rFonts w:hint="default" w:ascii="Times New Roman" w:hAnsi="Times New Roman" w:cs="Times New Roman"/>
                <w:color w:val="auto"/>
                <w:sz w:val="24"/>
                <w:szCs w:val="24"/>
                <w:highlight w:val="none"/>
              </w:rPr>
              <w:t>，总填方约</w:t>
            </w:r>
            <w:r>
              <w:rPr>
                <w:rFonts w:hint="eastAsia"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0</w:t>
            </w:r>
            <w:r>
              <w:rPr>
                <w:rFonts w:hint="eastAsia" w:cs="Times New Roman"/>
                <w:color w:val="auto"/>
                <w:sz w:val="24"/>
                <w:szCs w:val="24"/>
                <w:highlight w:val="none"/>
                <w:lang w:val="en-US" w:eastAsia="zh-CN"/>
              </w:rPr>
              <w:t>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含表土</w:t>
            </w:r>
            <w:r>
              <w:rPr>
                <w:rFonts w:hint="eastAsia"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0m</w:t>
            </w:r>
            <w:r>
              <w:rPr>
                <w:rFonts w:hint="default" w:ascii="Times New Roman" w:hAnsi="Times New Roman" w:cs="Times New Roman"/>
                <w:color w:val="auto"/>
                <w:sz w:val="24"/>
                <w:szCs w:val="24"/>
                <w:highlight w:val="none"/>
                <w:vertAlign w:val="superscript"/>
              </w:rPr>
              <w:t>3</w:t>
            </w:r>
            <w:r>
              <w:rPr>
                <w:rFonts w:hint="eastAsia" w:cs="Times New Roman"/>
                <w:color w:val="auto"/>
                <w:sz w:val="24"/>
                <w:szCs w:val="24"/>
                <w:highlight w:val="none"/>
                <w:vertAlign w:val="baseline"/>
                <w:lang w:eastAsia="zh-CN"/>
              </w:rPr>
              <w:t>）</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highlight w:val="none"/>
              </w:rPr>
              <w:t>开挖土石方全部回填于电缆沟占地范围内，土石方平衡，无弃土弃渣</w:t>
            </w:r>
            <w:r>
              <w:rPr>
                <w:rFonts w:hint="eastAsia" w:cs="Times New Roman"/>
                <w:color w:val="auto"/>
                <w:sz w:val="24"/>
                <w:highlight w:val="none"/>
                <w:lang w:val="en-US" w:eastAsia="zh-CN"/>
              </w:rPr>
              <w:t>，不单独设置弃渣场</w:t>
            </w:r>
            <w:r>
              <w:rPr>
                <w:color w:val="auto"/>
                <w:sz w:val="24"/>
                <w:szCs w:val="24"/>
                <w:highlight w:val="none"/>
              </w:rPr>
              <w:t>。施工剥离表土集中堆放，施工结束后回覆于施工区，用于植被恢复，开挖产生的基槽余土分别在</w:t>
            </w:r>
            <w:r>
              <w:rPr>
                <w:rFonts w:hint="eastAsia"/>
                <w:color w:val="auto"/>
                <w:sz w:val="24"/>
                <w:szCs w:val="24"/>
                <w:highlight w:val="none"/>
              </w:rPr>
              <w:t>占地</w:t>
            </w:r>
            <w:r>
              <w:rPr>
                <w:color w:val="auto"/>
                <w:sz w:val="24"/>
                <w:szCs w:val="24"/>
                <w:highlight w:val="none"/>
              </w:rPr>
              <w:t>范围内就地回填压实、综合利用。</w:t>
            </w:r>
          </w:p>
          <w:p w14:paraId="19B65FDA">
            <w:pPr>
              <w:autoSpaceDN w:val="0"/>
              <w:spacing w:line="360" w:lineRule="auto"/>
              <w:ind w:firstLine="482" w:firstLineChars="200"/>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（3）建筑垃圾、施工废物料</w:t>
            </w:r>
          </w:p>
          <w:p w14:paraId="0721129D">
            <w:pPr>
              <w:spacing w:line="360" w:lineRule="auto"/>
              <w:ind w:firstLine="480" w:firstLineChars="200"/>
              <w:rPr>
                <w:rFonts w:hint="default"/>
                <w:color w:val="auto"/>
                <w:sz w:val="24"/>
                <w:highlight w:val="none"/>
                <w:lang w:val="en-US" w:eastAsia="zh-CN"/>
              </w:rPr>
            </w:pPr>
            <w:r>
              <w:rPr>
                <w:rFonts w:ascii="Times New Roman" w:hAnsi="Times New Roman" w:eastAsia="宋体" w:cs="Times New Roman"/>
                <w:color w:val="auto"/>
                <w:sz w:val="24"/>
                <w:highlight w:val="none"/>
              </w:rPr>
              <w:t>施工垃圾主要为</w:t>
            </w:r>
            <w:r>
              <w:rPr>
                <w:rFonts w:hint="eastAsia" w:cs="Times New Roman"/>
                <w:color w:val="auto"/>
                <w:sz w:val="24"/>
                <w:highlight w:val="none"/>
                <w:lang w:val="en-US" w:eastAsia="zh-CN"/>
              </w:rPr>
              <w:t>电缆沟</w:t>
            </w:r>
            <w:r>
              <w:rPr>
                <w:rFonts w:hint="eastAsia" w:ascii="Times New Roman" w:hAnsi="Times New Roman" w:eastAsia="宋体" w:cs="Times New Roman"/>
                <w:color w:val="auto"/>
                <w:sz w:val="24"/>
                <w:highlight w:val="none"/>
              </w:rPr>
              <w:t>施工区域水泥硬化</w:t>
            </w:r>
            <w:r>
              <w:rPr>
                <w:rFonts w:ascii="Times New Roman" w:hAnsi="Times New Roman" w:eastAsia="宋体" w:cs="Times New Roman"/>
                <w:color w:val="auto"/>
                <w:sz w:val="24"/>
                <w:highlight w:val="none"/>
              </w:rPr>
              <w:t>产生的施工废料</w:t>
            </w:r>
            <w:r>
              <w:rPr>
                <w:rFonts w:hint="eastAsia"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废弃包装材料等</w:t>
            </w:r>
            <w:r>
              <w:rPr>
                <w:rFonts w:ascii="Times New Roman" w:hAnsi="Times New Roman" w:eastAsia="宋体" w:cs="Times New Roman"/>
                <w:color w:val="auto"/>
                <w:sz w:val="24"/>
                <w:highlight w:val="none"/>
              </w:rPr>
              <w:t>。施工废料主要包括混凝土、砂浆、</w:t>
            </w:r>
            <w:r>
              <w:rPr>
                <w:rFonts w:hint="eastAsia" w:ascii="Times New Roman" w:hAnsi="Times New Roman" w:eastAsia="宋体" w:cs="Times New Roman"/>
                <w:color w:val="auto"/>
                <w:sz w:val="24"/>
                <w:highlight w:val="none"/>
              </w:rPr>
              <w:t>砂石</w:t>
            </w:r>
            <w:r>
              <w:rPr>
                <w:rFonts w:ascii="Times New Roman" w:hAnsi="Times New Roman" w:eastAsia="宋体" w:cs="Times New Roman"/>
                <w:color w:val="auto"/>
                <w:sz w:val="24"/>
                <w:highlight w:val="none"/>
              </w:rPr>
              <w:t>等，施工废料</w:t>
            </w:r>
            <w:r>
              <w:rPr>
                <w:rFonts w:hint="eastAsia" w:ascii="Times New Roman" w:hAnsi="Times New Roman" w:eastAsia="宋体" w:cs="Times New Roman"/>
                <w:color w:val="auto"/>
                <w:sz w:val="24"/>
                <w:highlight w:val="none"/>
                <w:lang w:val="en-US" w:eastAsia="zh-CN"/>
              </w:rPr>
              <w:t>及包装材料等施工垃圾</w:t>
            </w:r>
            <w:r>
              <w:rPr>
                <w:rFonts w:ascii="Times New Roman" w:hAnsi="Times New Roman" w:eastAsia="宋体" w:cs="Times New Roman"/>
                <w:color w:val="auto"/>
                <w:sz w:val="24"/>
                <w:highlight w:val="none"/>
              </w:rPr>
              <w:t>处置不当，将严重影响线路工程周边环境，占用土地。</w:t>
            </w:r>
            <w:r>
              <w:rPr>
                <w:rFonts w:hint="eastAsia"/>
                <w:color w:val="auto"/>
                <w:sz w:val="24"/>
                <w:highlight w:val="none"/>
              </w:rPr>
              <w:t>施工废物料经分类收集后，可回收部分均回收利用，不可回收部分统一收集运至环卫部门指定地点统一清运。</w:t>
            </w:r>
            <w:r>
              <w:rPr>
                <w:rFonts w:hint="eastAsia"/>
                <w:color w:val="auto"/>
                <w:sz w:val="24"/>
                <w:highlight w:val="none"/>
                <w:lang w:val="en-US" w:eastAsia="zh-CN"/>
              </w:rPr>
              <w:t>施工期间建筑垃圾</w:t>
            </w:r>
            <w:r>
              <w:rPr>
                <w:rFonts w:hint="eastAsia"/>
                <w:color w:val="auto"/>
                <w:sz w:val="24"/>
                <w:highlight w:val="none"/>
              </w:rPr>
              <w:t>产生、收集、贮存、运输、利用、处置环节的污染控制</w:t>
            </w:r>
            <w:r>
              <w:rPr>
                <w:rFonts w:hint="eastAsia" w:cs="Times New Roman"/>
                <w:color w:val="auto"/>
                <w:spacing w:val="-4"/>
                <w:sz w:val="24"/>
                <w:highlight w:val="none"/>
                <w:lang w:val="en-US" w:eastAsia="zh-CN"/>
              </w:rPr>
              <w:t>按《建筑垃圾污染控制技术规范》（HJ 1462—2026）要求执行。</w:t>
            </w:r>
          </w:p>
          <w:p w14:paraId="7CC3165B">
            <w:pPr>
              <w:tabs>
                <w:tab w:val="left" w:pos="0"/>
              </w:tabs>
              <w:snapToGrid w:val="0"/>
              <w:spacing w:before="120" w:line="360" w:lineRule="auto"/>
              <w:rPr>
                <w:b/>
                <w:color w:val="auto"/>
                <w:sz w:val="24"/>
                <w:highlight w:val="none"/>
              </w:rPr>
            </w:pPr>
            <w:r>
              <w:rPr>
                <w:b/>
                <w:color w:val="auto"/>
                <w:sz w:val="24"/>
                <w:highlight w:val="none"/>
              </w:rPr>
              <w:t>6</w:t>
            </w:r>
            <w:r>
              <w:rPr>
                <w:rFonts w:hint="eastAsia"/>
                <w:b/>
                <w:color w:val="auto"/>
                <w:sz w:val="24"/>
                <w:highlight w:val="none"/>
              </w:rPr>
              <w:t>.地表水环境</w:t>
            </w:r>
          </w:p>
          <w:p w14:paraId="633D9F29">
            <w:pPr>
              <w:tabs>
                <w:tab w:val="left" w:pos="0"/>
              </w:tabs>
              <w:snapToGrid w:val="0"/>
              <w:spacing w:before="20" w:after="20" w:line="360" w:lineRule="auto"/>
              <w:rPr>
                <w:b/>
                <w:color w:val="auto"/>
                <w:sz w:val="24"/>
                <w:highlight w:val="none"/>
              </w:rPr>
            </w:pPr>
            <w:r>
              <w:rPr>
                <w:b/>
                <w:color w:val="auto"/>
                <w:sz w:val="24"/>
                <w:highlight w:val="none"/>
              </w:rPr>
              <w:t>6</w:t>
            </w:r>
            <w:r>
              <w:rPr>
                <w:rFonts w:hint="eastAsia"/>
                <w:b/>
                <w:color w:val="auto"/>
                <w:sz w:val="24"/>
                <w:highlight w:val="none"/>
              </w:rPr>
              <w:t>.1污染源</w:t>
            </w:r>
          </w:p>
          <w:p w14:paraId="4E0FDCB5">
            <w:pPr>
              <w:spacing w:line="360" w:lineRule="auto"/>
              <w:ind w:firstLine="482"/>
              <w:outlineLvl w:val="4"/>
              <w:rPr>
                <w:color w:val="auto"/>
                <w:sz w:val="24"/>
                <w:highlight w:val="none"/>
              </w:rPr>
            </w:pPr>
            <w:r>
              <w:rPr>
                <w:rFonts w:hint="eastAsia"/>
                <w:color w:val="auto"/>
                <w:sz w:val="24"/>
                <w:highlight w:val="none"/>
              </w:rPr>
              <w:t>施工废污水包括施工生产废水及施工人员的生活污水。</w:t>
            </w:r>
          </w:p>
          <w:p w14:paraId="5192EC69">
            <w:pPr>
              <w:spacing w:line="360" w:lineRule="auto"/>
              <w:ind w:firstLine="482"/>
              <w:outlineLvl w:val="4"/>
              <w:rPr>
                <w:color w:val="auto"/>
                <w:sz w:val="24"/>
                <w:highlight w:val="none"/>
              </w:rPr>
            </w:pPr>
            <w:r>
              <w:rPr>
                <w:rFonts w:hint="eastAsia"/>
                <w:color w:val="auto"/>
                <w:sz w:val="24"/>
                <w:highlight w:val="none"/>
              </w:rPr>
              <w:t>（1）生产废水</w:t>
            </w:r>
          </w:p>
          <w:p w14:paraId="0C845E20">
            <w:pPr>
              <w:spacing w:line="360" w:lineRule="auto"/>
              <w:ind w:firstLine="482"/>
              <w:outlineLvl w:val="4"/>
              <w:rPr>
                <w:bCs/>
                <w:color w:val="auto"/>
                <w:sz w:val="24"/>
                <w:highlight w:val="none"/>
              </w:rPr>
            </w:pPr>
            <w:r>
              <w:rPr>
                <w:rFonts w:hint="eastAsia"/>
                <w:color w:val="auto"/>
                <w:sz w:val="24"/>
                <w:highlight w:val="none"/>
              </w:rPr>
              <w:t>施工废水包括场地平整、机械设备冲洗、混凝土搅拌系统冲洗废水和雨水冲刷施工场地形成的废水等。</w:t>
            </w:r>
          </w:p>
          <w:p w14:paraId="4D1BAD44">
            <w:pPr>
              <w:spacing w:line="360" w:lineRule="auto"/>
              <w:ind w:firstLine="482"/>
              <w:outlineLvl w:val="4"/>
              <w:rPr>
                <w:color w:val="auto"/>
                <w:sz w:val="24"/>
                <w:highlight w:val="none"/>
              </w:rPr>
            </w:pPr>
            <w:r>
              <w:rPr>
                <w:rFonts w:hint="eastAsia"/>
                <w:color w:val="auto"/>
                <w:sz w:val="24"/>
                <w:highlight w:val="none"/>
              </w:rPr>
              <w:t>（2）生活污水</w:t>
            </w:r>
          </w:p>
          <w:p w14:paraId="39D2FA05">
            <w:pPr>
              <w:spacing w:line="360" w:lineRule="auto"/>
              <w:ind w:firstLine="482"/>
              <w:outlineLvl w:val="4"/>
              <w:rPr>
                <w:color w:val="auto"/>
                <w:sz w:val="24"/>
                <w:highlight w:val="none"/>
              </w:rPr>
            </w:pPr>
            <w:r>
              <w:rPr>
                <w:rFonts w:hint="eastAsia"/>
                <w:color w:val="auto"/>
                <w:sz w:val="24"/>
                <w:highlight w:val="none"/>
              </w:rPr>
              <w:t>施工期生活污水主要为施工人员产生的生活污水，产生量与施工人数有关，包括粪便污水、洗涤废水等，主要污染物为COD、BOD</w:t>
            </w:r>
            <w:r>
              <w:rPr>
                <w:rFonts w:hint="eastAsia"/>
                <w:color w:val="auto"/>
                <w:sz w:val="24"/>
                <w:highlight w:val="none"/>
                <w:vertAlign w:val="subscript"/>
              </w:rPr>
              <w:t>5</w:t>
            </w:r>
            <w:r>
              <w:rPr>
                <w:rFonts w:hint="eastAsia"/>
                <w:color w:val="auto"/>
                <w:sz w:val="24"/>
                <w:highlight w:val="none"/>
              </w:rPr>
              <w:t>、氨氮等。</w:t>
            </w:r>
          </w:p>
          <w:p w14:paraId="6DCE765E">
            <w:pPr>
              <w:tabs>
                <w:tab w:val="left" w:pos="0"/>
              </w:tabs>
              <w:snapToGrid w:val="0"/>
              <w:spacing w:before="20" w:after="20" w:line="360" w:lineRule="auto"/>
              <w:rPr>
                <w:b/>
                <w:color w:val="auto"/>
                <w:sz w:val="24"/>
                <w:highlight w:val="none"/>
              </w:rPr>
            </w:pPr>
            <w:r>
              <w:rPr>
                <w:b/>
                <w:color w:val="auto"/>
                <w:sz w:val="24"/>
                <w:highlight w:val="none"/>
              </w:rPr>
              <w:t>6</w:t>
            </w:r>
            <w:r>
              <w:rPr>
                <w:rFonts w:hint="eastAsia"/>
                <w:b/>
                <w:color w:val="auto"/>
                <w:sz w:val="24"/>
                <w:highlight w:val="none"/>
              </w:rPr>
              <w:t>.2地表水</w:t>
            </w:r>
            <w:r>
              <w:rPr>
                <w:b/>
                <w:color w:val="auto"/>
                <w:sz w:val="24"/>
                <w:highlight w:val="none"/>
              </w:rPr>
              <w:t>环境影响分析</w:t>
            </w:r>
          </w:p>
          <w:p w14:paraId="5FE3D713">
            <w:pPr>
              <w:autoSpaceDN w:val="0"/>
              <w:spacing w:line="360" w:lineRule="auto"/>
              <w:ind w:firstLine="480" w:firstLineChars="200"/>
              <w:rPr>
                <w:rFonts w:hint="eastAsia"/>
                <w:bCs/>
                <w:color w:val="auto"/>
                <w:sz w:val="24"/>
                <w:highlight w:val="none"/>
              </w:rPr>
            </w:pPr>
            <w:r>
              <w:rPr>
                <w:rFonts w:hint="eastAsia"/>
                <w:bCs/>
                <w:color w:val="auto"/>
                <w:sz w:val="24"/>
                <w:highlight w:val="none"/>
              </w:rPr>
              <w:t>新建线路</w:t>
            </w:r>
            <w:r>
              <w:rPr>
                <w:rFonts w:hint="eastAsia"/>
                <w:bCs/>
                <w:color w:val="auto"/>
                <w:sz w:val="24"/>
                <w:highlight w:val="none"/>
                <w:lang w:val="en-US" w:eastAsia="zh-CN"/>
              </w:rPr>
              <w:t>电缆沟、电缆终端塔基础</w:t>
            </w:r>
            <w:r>
              <w:rPr>
                <w:rFonts w:hint="eastAsia"/>
                <w:bCs/>
                <w:color w:val="auto"/>
                <w:sz w:val="24"/>
                <w:highlight w:val="none"/>
              </w:rPr>
              <w:t>施工均采用商品混凝土，基本上无生产废水产生。线路施工人员可租赁周边居民空闲房屋，其生活污水可利用租赁户家中的</w:t>
            </w:r>
            <w:r>
              <w:rPr>
                <w:rFonts w:hint="default" w:ascii="Times New Roman" w:hAnsi="Times New Roman" w:eastAsia="宋体" w:cs="Times New Roman"/>
                <w:color w:val="auto"/>
                <w:sz w:val="24"/>
                <w:highlight w:val="none"/>
                <w:lang w:eastAsia="zh-CN"/>
              </w:rPr>
              <w:t>污水处理设施</w:t>
            </w:r>
            <w:r>
              <w:rPr>
                <w:rFonts w:hint="eastAsia"/>
                <w:bCs/>
                <w:color w:val="auto"/>
                <w:sz w:val="24"/>
                <w:highlight w:val="none"/>
              </w:rPr>
              <w:t>进行处理后纳入当地污水处理系统，且废水随着施工的结束而结束，对周边水体影响较小且较为短暂。</w:t>
            </w:r>
          </w:p>
        </w:tc>
      </w:tr>
      <w:tr w14:paraId="5A782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23" w:type="pct"/>
            <w:tcMar>
              <w:left w:w="28" w:type="dxa"/>
              <w:right w:w="28" w:type="dxa"/>
            </w:tcMar>
            <w:vAlign w:val="center"/>
          </w:tcPr>
          <w:p w14:paraId="2A87A581">
            <w:pPr>
              <w:pStyle w:val="39"/>
              <w:adjustRightInd w:val="0"/>
              <w:snapToGrid w:val="0"/>
              <w:spacing w:before="0" w:beforeAutospacing="0" w:after="0" w:afterAutospacing="0"/>
              <w:jc w:val="center"/>
              <w:rPr>
                <w:rFonts w:ascii="Times New Roman" w:hAnsi="Times New Roman"/>
                <w:bCs/>
                <w:color w:val="auto"/>
                <w:spacing w:val="10"/>
                <w:kern w:val="2"/>
                <w:szCs w:val="24"/>
                <w:highlight w:val="none"/>
              </w:rPr>
            </w:pPr>
            <w:r>
              <w:rPr>
                <w:rFonts w:ascii="Times New Roman" w:hAnsi="Times New Roman"/>
                <w:bCs/>
                <w:color w:val="auto"/>
                <w:spacing w:val="10"/>
                <w:kern w:val="2"/>
                <w:szCs w:val="24"/>
                <w:highlight w:val="none"/>
              </w:rPr>
              <w:t>运营期生态环境影响分析</w:t>
            </w:r>
          </w:p>
        </w:tc>
        <w:tc>
          <w:tcPr>
            <w:tcW w:w="4776" w:type="pct"/>
            <w:vAlign w:val="top"/>
          </w:tcPr>
          <w:p w14:paraId="75E7D9FA">
            <w:pPr>
              <w:tabs>
                <w:tab w:val="left" w:pos="0"/>
              </w:tabs>
              <w:snapToGrid w:val="0"/>
              <w:spacing w:before="120" w:line="360" w:lineRule="auto"/>
              <w:rPr>
                <w:b/>
                <w:color w:val="auto"/>
                <w:sz w:val="24"/>
                <w:highlight w:val="none"/>
              </w:rPr>
            </w:pPr>
            <w:bookmarkStart w:id="30" w:name="_Toc6917900"/>
            <w:bookmarkStart w:id="31" w:name="_Toc527125280"/>
            <w:bookmarkStart w:id="32" w:name="_Toc525684590"/>
            <w:bookmarkStart w:id="33" w:name="_Toc526073449"/>
            <w:bookmarkStart w:id="34" w:name="_Toc525391725"/>
            <w:bookmarkStart w:id="35" w:name="_Toc525735322"/>
            <w:r>
              <w:rPr>
                <w:rFonts w:hint="eastAsia"/>
                <w:b/>
                <w:color w:val="auto"/>
                <w:sz w:val="24"/>
                <w:highlight w:val="none"/>
              </w:rPr>
              <w:t>1.运营期产污环节</w:t>
            </w:r>
          </w:p>
          <w:p w14:paraId="5AA236D1">
            <w:pPr>
              <w:adjustRightInd w:val="0"/>
              <w:snapToGrid w:val="0"/>
              <w:spacing w:line="360" w:lineRule="auto"/>
              <w:ind w:firstLine="480" w:firstLineChars="200"/>
              <w:rPr>
                <w:color w:val="auto"/>
                <w:sz w:val="24"/>
                <w:highlight w:val="none"/>
              </w:rPr>
            </w:pPr>
            <w:r>
              <w:rPr>
                <w:color w:val="auto"/>
                <w:sz w:val="24"/>
                <w:highlight w:val="none"/>
              </w:rPr>
              <w:t>本</w:t>
            </w:r>
            <w:r>
              <w:rPr>
                <w:rFonts w:hint="eastAsia"/>
                <w:color w:val="auto"/>
                <w:sz w:val="24"/>
                <w:highlight w:val="none"/>
              </w:rPr>
              <w:t>项目运营期</w:t>
            </w:r>
            <w:r>
              <w:rPr>
                <w:color w:val="auto"/>
                <w:sz w:val="24"/>
                <w:highlight w:val="none"/>
              </w:rPr>
              <w:t>产污环节示意图见图4-</w:t>
            </w:r>
            <w:r>
              <w:rPr>
                <w:rFonts w:hint="eastAsia"/>
                <w:color w:val="auto"/>
                <w:sz w:val="24"/>
                <w:highlight w:val="none"/>
                <w:lang w:val="en-US" w:eastAsia="zh-CN"/>
              </w:rPr>
              <w:t>2</w:t>
            </w:r>
            <w:r>
              <w:rPr>
                <w:color w:val="auto"/>
                <w:sz w:val="24"/>
                <w:highlight w:val="none"/>
              </w:rPr>
              <w:t>。</w:t>
            </w:r>
          </w:p>
          <w:p w14:paraId="1C1DD874">
            <w:pPr>
              <w:snapToGrid w:val="0"/>
              <w:jc w:val="center"/>
              <w:rPr>
                <w:rFonts w:hint="eastAsia" w:eastAsia="宋体"/>
                <w:color w:val="auto"/>
                <w:sz w:val="24"/>
                <w:highlight w:val="none"/>
                <w:lang w:eastAsia="zh-CN"/>
              </w:rPr>
            </w:pPr>
            <w:r>
              <w:rPr>
                <w:color w:val="auto"/>
                <w:highlight w:val="none"/>
              </w:rPr>
              <w:drawing>
                <wp:inline distT="0" distB="0" distL="114300" distR="114300">
                  <wp:extent cx="4203700" cy="1828800"/>
                  <wp:effectExtent l="0" t="0" r="0" b="0"/>
                  <wp:docPr id="3"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
                          <pic:cNvPicPr>
                            <a:picLocks noChangeAspect="1"/>
                          </pic:cNvPicPr>
                        </pic:nvPicPr>
                        <pic:blipFill>
                          <a:blip r:embed="rId24"/>
                          <a:stretch>
                            <a:fillRect/>
                          </a:stretch>
                        </pic:blipFill>
                        <pic:spPr>
                          <a:xfrm>
                            <a:off x="0" y="0"/>
                            <a:ext cx="4203700" cy="1828800"/>
                          </a:xfrm>
                          <a:prstGeom prst="rect">
                            <a:avLst/>
                          </a:prstGeom>
                        </pic:spPr>
                      </pic:pic>
                    </a:graphicData>
                  </a:graphic>
                </wp:inline>
              </w:drawing>
            </w:r>
          </w:p>
          <w:p w14:paraId="40059C87">
            <w:pPr>
              <w:adjustRightInd w:val="0"/>
              <w:snapToGrid w:val="0"/>
              <w:spacing w:line="360" w:lineRule="auto"/>
              <w:ind w:firstLine="482" w:firstLineChars="200"/>
              <w:jc w:val="center"/>
              <w:rPr>
                <w:b/>
                <w:bCs/>
                <w:color w:val="auto"/>
                <w:sz w:val="24"/>
                <w:highlight w:val="none"/>
              </w:rPr>
            </w:pPr>
            <w:r>
              <w:rPr>
                <w:b/>
                <w:bCs/>
                <w:color w:val="auto"/>
                <w:sz w:val="24"/>
                <w:highlight w:val="none"/>
              </w:rPr>
              <w:t>图4-</w:t>
            </w:r>
            <w:r>
              <w:rPr>
                <w:rFonts w:hint="eastAsia"/>
                <w:b/>
                <w:bCs/>
                <w:color w:val="auto"/>
                <w:sz w:val="24"/>
                <w:highlight w:val="none"/>
                <w:lang w:val="en-US" w:eastAsia="zh-CN"/>
              </w:rPr>
              <w:t>2</w:t>
            </w:r>
            <w:r>
              <w:rPr>
                <w:b/>
                <w:bCs/>
                <w:color w:val="auto"/>
                <w:sz w:val="24"/>
                <w:highlight w:val="none"/>
              </w:rPr>
              <w:t xml:space="preserve">  </w:t>
            </w:r>
            <w:r>
              <w:rPr>
                <w:rFonts w:hint="eastAsia"/>
                <w:b/>
                <w:bCs/>
                <w:color w:val="auto"/>
                <w:sz w:val="24"/>
                <w:highlight w:val="none"/>
              </w:rPr>
              <w:t>运营</w:t>
            </w:r>
            <w:r>
              <w:rPr>
                <w:b/>
                <w:bCs/>
                <w:color w:val="auto"/>
                <w:sz w:val="24"/>
                <w:highlight w:val="none"/>
              </w:rPr>
              <w:t>期产污环节示意图</w:t>
            </w:r>
          </w:p>
          <w:p w14:paraId="3455C769">
            <w:pPr>
              <w:adjustRightInd w:val="0"/>
              <w:snapToGrid w:val="0"/>
              <w:spacing w:line="360" w:lineRule="auto"/>
              <w:ind w:firstLine="482" w:firstLineChars="200"/>
              <w:jc w:val="center"/>
              <w:rPr>
                <w:b/>
                <w:bCs/>
                <w:color w:val="auto"/>
                <w:sz w:val="24"/>
                <w:highlight w:val="none"/>
              </w:rPr>
            </w:pPr>
          </w:p>
          <w:p w14:paraId="30E5143D">
            <w:pPr>
              <w:pageBreakBefore w:val="0"/>
              <w:widowControl w:val="0"/>
              <w:tabs>
                <w:tab w:val="left" w:pos="0"/>
              </w:tabs>
              <w:kinsoku/>
              <w:wordWrap/>
              <w:overflowPunct/>
              <w:topLinePunct w:val="0"/>
              <w:autoSpaceDE/>
              <w:bidi w:val="0"/>
              <w:adjustRightInd/>
              <w:snapToGrid w:val="0"/>
              <w:spacing w:before="120" w:line="348" w:lineRule="auto"/>
              <w:textAlignment w:val="auto"/>
              <w:rPr>
                <w:b/>
                <w:color w:val="auto"/>
                <w:sz w:val="24"/>
                <w:highlight w:val="none"/>
              </w:rPr>
            </w:pPr>
            <w:r>
              <w:rPr>
                <w:b/>
                <w:color w:val="auto"/>
                <w:sz w:val="24"/>
                <w:highlight w:val="none"/>
              </w:rPr>
              <w:t>2</w:t>
            </w:r>
            <w:r>
              <w:rPr>
                <w:rFonts w:hint="eastAsia"/>
                <w:b/>
                <w:color w:val="auto"/>
                <w:sz w:val="24"/>
                <w:highlight w:val="none"/>
              </w:rPr>
              <w:t>.</w:t>
            </w:r>
            <w:r>
              <w:rPr>
                <w:b/>
                <w:color w:val="auto"/>
                <w:sz w:val="24"/>
                <w:highlight w:val="none"/>
              </w:rPr>
              <w:t>电磁环境影响分析</w:t>
            </w:r>
          </w:p>
          <w:p w14:paraId="7F3C9FFE">
            <w:pPr>
              <w:keepNext w:val="0"/>
              <w:keepLines w:val="0"/>
              <w:pageBreakBefore w:val="0"/>
              <w:widowControl w:val="0"/>
              <w:kinsoku/>
              <w:wordWrap/>
              <w:overflowPunct/>
              <w:topLinePunct w:val="0"/>
              <w:autoSpaceDE/>
              <w:bidi w:val="0"/>
              <w:adjustRightInd/>
              <w:snapToGrid/>
              <w:spacing w:line="348" w:lineRule="auto"/>
              <w:ind w:firstLine="480" w:firstLineChars="200"/>
              <w:textAlignment w:val="auto"/>
              <w:rPr>
                <w:color w:val="auto"/>
                <w:sz w:val="24"/>
                <w:highlight w:val="none"/>
              </w:rPr>
            </w:pPr>
            <w:r>
              <w:rPr>
                <w:rFonts w:hint="default" w:ascii="Times New Roman" w:hAnsi="Times New Roman" w:cs="Times New Roman"/>
                <w:color w:val="auto"/>
                <w:sz w:val="24"/>
                <w:highlight w:val="none"/>
              </w:rPr>
              <w:t>按照《环境影响评价技术导则 输变电》（HJ 24-2020）要求，本项目电磁环境影响评价工作等级为</w:t>
            </w:r>
            <w:r>
              <w:rPr>
                <w:rFonts w:hint="default" w:ascii="Times New Roman" w:hAnsi="Times New Roman" w:cs="Times New Roman"/>
                <w:color w:val="auto"/>
                <w:sz w:val="24"/>
                <w:highlight w:val="none"/>
                <w:lang w:val="en-US" w:eastAsia="zh-CN"/>
              </w:rPr>
              <w:t>三</w:t>
            </w:r>
            <w:r>
              <w:rPr>
                <w:rFonts w:hint="default" w:ascii="Times New Roman" w:hAnsi="Times New Roman" w:cs="Times New Roman"/>
                <w:color w:val="auto"/>
                <w:sz w:val="24"/>
                <w:highlight w:val="none"/>
              </w:rPr>
              <w:t>级</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本项目</w:t>
            </w:r>
            <w:r>
              <w:rPr>
                <w:rFonts w:hint="default" w:ascii="Times New Roman" w:hAnsi="Times New Roman" w:eastAsia="宋体" w:cs="Times New Roman"/>
                <w:color w:val="auto"/>
                <w:sz w:val="24"/>
                <w:highlight w:val="none"/>
              </w:rPr>
              <w:t>电缆线路投运后产生的电磁环境影响采用类比监测的方法进行分析评价</w:t>
            </w:r>
            <w:r>
              <w:rPr>
                <w:rFonts w:hint="default" w:ascii="Times New Roman" w:hAnsi="Times New Roman" w:eastAsia="宋体" w:cs="Times New Roman"/>
                <w:color w:val="auto"/>
                <w:sz w:val="24"/>
                <w:highlight w:val="none"/>
                <w:lang w:eastAsia="zh-CN"/>
              </w:rPr>
              <w:t>；</w:t>
            </w:r>
            <w:r>
              <w:rPr>
                <w:rFonts w:hint="default" w:ascii="Times New Roman" w:hAnsi="Times New Roman" w:eastAsia="Segoe UI" w:cs="Times New Roman"/>
                <w:i w:val="0"/>
                <w:iCs w:val="0"/>
                <w:caps w:val="0"/>
                <w:color w:val="auto"/>
                <w:spacing w:val="0"/>
                <w:sz w:val="24"/>
                <w:szCs w:val="24"/>
                <w:highlight w:val="none"/>
                <w:shd w:val="clear" w:color="auto" w:fill="FFFFFF"/>
              </w:rPr>
              <w:t>本项目在</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110kV</w:t>
            </w:r>
            <w:r>
              <w:rPr>
                <w:rFonts w:hint="default" w:ascii="Times New Roman" w:hAnsi="Times New Roman" w:eastAsia="Segoe UI" w:cs="Times New Roman"/>
                <w:i w:val="0"/>
                <w:iCs w:val="0"/>
                <w:caps w:val="0"/>
                <w:color w:val="auto"/>
                <w:spacing w:val="0"/>
                <w:sz w:val="24"/>
                <w:szCs w:val="24"/>
                <w:highlight w:val="none"/>
                <w:shd w:val="clear" w:color="auto" w:fill="FFFFFF"/>
              </w:rPr>
              <w:t>白沙变电站外进行架空跳线连接施工，</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即</w:t>
            </w:r>
            <w:r>
              <w:rPr>
                <w:rFonts w:hint="default" w:ascii="Times New Roman" w:hAnsi="Times New Roman" w:cs="Times New Roman"/>
                <w:color w:val="auto"/>
                <w:sz w:val="24"/>
                <w:highlight w:val="none"/>
              </w:rPr>
              <w:t>将原柳北~白沙（T接黄村站、河北站）110kV线路#29杆与原茅洲~白沙110kV线路#30杆跳线接通</w:t>
            </w:r>
            <w:r>
              <w:rPr>
                <w:rFonts w:hint="default" w:ascii="Times New Roman" w:hAnsi="Times New Roman" w:cs="Times New Roman"/>
                <w:color w:val="auto"/>
                <w:sz w:val="24"/>
                <w:highlight w:val="none"/>
                <w:lang w:eastAsia="zh-CN"/>
              </w:rPr>
              <w:t>。</w:t>
            </w:r>
            <w:r>
              <w:rPr>
                <w:rFonts w:hint="default" w:ascii="Times New Roman" w:hAnsi="Times New Roman" w:eastAsia="Segoe UI" w:cs="Times New Roman"/>
                <w:i w:val="0"/>
                <w:iCs w:val="0"/>
                <w:caps w:val="0"/>
                <w:color w:val="auto"/>
                <w:spacing w:val="0"/>
                <w:sz w:val="24"/>
                <w:szCs w:val="24"/>
                <w:highlight w:val="none"/>
                <w:shd w:val="clear" w:color="auto" w:fill="FFFFFF"/>
              </w:rPr>
              <w:t>鉴于</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该段线路仅利用既有导线跳通连接</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，不新建杆塔及线路</w:t>
            </w:r>
            <w:r>
              <w:rPr>
                <w:rFonts w:hint="default" w:ascii="Times New Roman" w:hAnsi="Times New Roman" w:cs="Times New Roman"/>
                <w:color w:val="auto"/>
                <w:sz w:val="24"/>
                <w:highlight w:val="none"/>
                <w:lang w:val="en-US" w:eastAsia="zh-CN"/>
              </w:rPr>
              <w:t>，为了解架空线路运行后，线路对周围环境的影响</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本项目对跳线接通</w:t>
            </w:r>
            <w:r>
              <w:rPr>
                <w:rFonts w:hint="default" w:ascii="Times New Roman" w:hAnsi="Times New Roman" w:cs="Times New Roman"/>
                <w:color w:val="auto"/>
                <w:sz w:val="24"/>
                <w:highlight w:val="none"/>
              </w:rPr>
              <w:t>架空线路投运后产生的电磁环境影响采用模式预测的方式进行分析评价。</w:t>
            </w:r>
          </w:p>
          <w:p w14:paraId="3018F2B2">
            <w:pPr>
              <w:keepNext w:val="0"/>
              <w:keepLines w:val="0"/>
              <w:pageBreakBefore w:val="0"/>
              <w:widowControl w:val="0"/>
              <w:kinsoku/>
              <w:wordWrap/>
              <w:overflowPunct/>
              <w:topLinePunct w:val="0"/>
              <w:autoSpaceDE/>
              <w:autoSpaceDN w:val="0"/>
              <w:bidi w:val="0"/>
              <w:adjustRightInd/>
              <w:snapToGrid/>
              <w:spacing w:line="348" w:lineRule="auto"/>
              <w:ind w:firstLine="528" w:firstLineChars="200"/>
              <w:textAlignment w:val="auto"/>
              <w:rPr>
                <w:rFonts w:hint="default" w:ascii="Times New Roman" w:hAnsi="Times New Roman" w:eastAsia="宋体" w:cs="Times New Roman"/>
                <w:color w:val="auto"/>
                <w:spacing w:val="12"/>
                <w:sz w:val="24"/>
                <w:szCs w:val="24"/>
                <w:highlight w:val="none"/>
                <w:lang w:val="en-US" w:eastAsia="zh-CN"/>
              </w:rPr>
            </w:pPr>
            <w:r>
              <w:rPr>
                <w:rFonts w:hint="default" w:ascii="Times New Roman" w:hAnsi="Times New Roman" w:eastAsia="宋体" w:cs="Times New Roman"/>
                <w:color w:val="auto"/>
                <w:spacing w:val="12"/>
                <w:sz w:val="24"/>
                <w:szCs w:val="24"/>
                <w:highlight w:val="none"/>
                <w:lang w:val="en-US" w:eastAsia="zh-CN"/>
              </w:rPr>
              <w:t>（1）电缆线路</w:t>
            </w:r>
          </w:p>
          <w:p w14:paraId="1ED9674A">
            <w:pPr>
              <w:keepNext w:val="0"/>
              <w:keepLines w:val="0"/>
              <w:pageBreakBefore w:val="0"/>
              <w:widowControl w:val="0"/>
              <w:kinsoku/>
              <w:wordWrap/>
              <w:overflowPunct/>
              <w:topLinePunct w:val="0"/>
              <w:autoSpaceDE/>
              <w:autoSpaceDN w:val="0"/>
              <w:bidi w:val="0"/>
              <w:adjustRightInd/>
              <w:snapToGrid/>
              <w:spacing w:line="348" w:lineRule="auto"/>
              <w:ind w:firstLine="528" w:firstLineChars="200"/>
              <w:textAlignment w:val="auto"/>
              <w:rPr>
                <w:rFonts w:hint="default" w:ascii="Times New Roman" w:hAnsi="Times New Roman" w:eastAsia="宋体" w:cs="Times New Roman"/>
                <w:color w:val="auto"/>
                <w:spacing w:val="12"/>
                <w:sz w:val="24"/>
                <w:szCs w:val="24"/>
                <w:highlight w:val="none"/>
                <w:lang w:val="en-US" w:eastAsia="zh-CN"/>
              </w:rPr>
            </w:pPr>
            <w:r>
              <w:rPr>
                <w:rFonts w:hint="default" w:ascii="Times New Roman" w:hAnsi="Times New Roman" w:eastAsia="宋体" w:cs="Times New Roman"/>
                <w:color w:val="auto"/>
                <w:spacing w:val="12"/>
                <w:sz w:val="24"/>
                <w:szCs w:val="24"/>
                <w:highlight w:val="none"/>
                <w:lang w:val="en-US" w:eastAsia="zh-CN"/>
              </w:rPr>
              <w:t>通过类比分析，本项目110kV架空线路建成运行后其产生的</w:t>
            </w:r>
            <w:r>
              <w:rPr>
                <w:rFonts w:hint="eastAsia" w:cs="Times New Roman"/>
                <w:color w:val="auto"/>
                <w:spacing w:val="12"/>
                <w:sz w:val="24"/>
                <w:szCs w:val="24"/>
                <w:highlight w:val="none"/>
                <w:lang w:val="en-US" w:eastAsia="zh-CN"/>
              </w:rPr>
              <w:t>工频电场强度、工频磁感应强度</w:t>
            </w:r>
            <w:r>
              <w:rPr>
                <w:rFonts w:hint="default" w:ascii="Times New Roman" w:hAnsi="Times New Roman" w:eastAsia="宋体" w:cs="Times New Roman"/>
                <w:color w:val="auto"/>
                <w:spacing w:val="12"/>
                <w:sz w:val="24"/>
                <w:szCs w:val="24"/>
                <w:highlight w:val="none"/>
                <w:lang w:val="en-US" w:eastAsia="zh-CN"/>
              </w:rPr>
              <w:t>分别满足《电磁环境控制限值》（GB8702-2014）规定的4000V/m和100μT的限值要求。</w:t>
            </w:r>
          </w:p>
          <w:p w14:paraId="77C842DD">
            <w:pPr>
              <w:keepNext w:val="0"/>
              <w:keepLines w:val="0"/>
              <w:pageBreakBefore w:val="0"/>
              <w:widowControl w:val="0"/>
              <w:kinsoku/>
              <w:wordWrap/>
              <w:overflowPunct/>
              <w:topLinePunct w:val="0"/>
              <w:autoSpaceDE/>
              <w:autoSpaceDN w:val="0"/>
              <w:bidi w:val="0"/>
              <w:adjustRightInd/>
              <w:snapToGrid/>
              <w:spacing w:line="348" w:lineRule="auto"/>
              <w:ind w:firstLine="528" w:firstLineChars="200"/>
              <w:textAlignment w:val="auto"/>
              <w:rPr>
                <w:rFonts w:hint="default" w:ascii="Times New Roman" w:hAnsi="Times New Roman" w:eastAsia="宋体" w:cs="Times New Roman"/>
                <w:color w:val="auto"/>
                <w:spacing w:val="12"/>
                <w:sz w:val="24"/>
                <w:szCs w:val="24"/>
                <w:highlight w:val="none"/>
                <w:lang w:val="en-US" w:eastAsia="zh-CN"/>
              </w:rPr>
            </w:pPr>
            <w:r>
              <w:rPr>
                <w:rFonts w:hint="default" w:ascii="Times New Roman" w:hAnsi="Times New Roman" w:eastAsia="宋体" w:cs="Times New Roman"/>
                <w:color w:val="auto"/>
                <w:spacing w:val="12"/>
                <w:sz w:val="24"/>
                <w:szCs w:val="24"/>
                <w:highlight w:val="none"/>
                <w:lang w:val="en-US" w:eastAsia="zh-CN"/>
              </w:rPr>
              <w:t>（2）架空线路</w:t>
            </w:r>
          </w:p>
          <w:p w14:paraId="45DC3836">
            <w:pPr>
              <w:keepNext w:val="0"/>
              <w:keepLines w:val="0"/>
              <w:pageBreakBefore w:val="0"/>
              <w:widowControl w:val="0"/>
              <w:kinsoku/>
              <w:wordWrap/>
              <w:overflowPunct/>
              <w:topLinePunct w:val="0"/>
              <w:autoSpaceDE/>
              <w:autoSpaceDN w:val="0"/>
              <w:bidi w:val="0"/>
              <w:adjustRightInd/>
              <w:snapToGrid/>
              <w:spacing w:line="348" w:lineRule="auto"/>
              <w:ind w:firstLine="528" w:firstLineChars="200"/>
              <w:textAlignment w:val="auto"/>
              <w:rPr>
                <w:rFonts w:hint="default" w:ascii="Times New Roman" w:hAnsi="Times New Roman" w:eastAsia="宋体" w:cs="Times New Roman"/>
                <w:color w:val="auto"/>
                <w:spacing w:val="12"/>
                <w:sz w:val="24"/>
                <w:szCs w:val="24"/>
                <w:highlight w:val="none"/>
                <w:lang w:val="en-US" w:eastAsia="zh-CN"/>
              </w:rPr>
            </w:pPr>
            <w:r>
              <w:rPr>
                <w:rFonts w:hint="default" w:ascii="Times New Roman" w:hAnsi="Times New Roman" w:eastAsia="宋体" w:cs="Times New Roman"/>
                <w:color w:val="auto"/>
                <w:spacing w:val="12"/>
                <w:sz w:val="24"/>
                <w:szCs w:val="24"/>
                <w:highlight w:val="none"/>
                <w:lang w:val="en-US" w:eastAsia="zh-CN"/>
              </w:rPr>
              <w:t>根据模式预测结果，本项目单回线路按设计导线对地高度16.0m时，地面1.5m高度</w:t>
            </w:r>
            <w:r>
              <w:rPr>
                <w:rFonts w:hint="eastAsia" w:cs="Times New Roman"/>
                <w:color w:val="auto"/>
                <w:spacing w:val="12"/>
                <w:sz w:val="24"/>
                <w:szCs w:val="24"/>
                <w:highlight w:val="none"/>
                <w:lang w:val="en-US" w:eastAsia="zh-CN"/>
              </w:rPr>
              <w:t>工频电场强度、工频磁感应强度</w:t>
            </w:r>
            <w:r>
              <w:rPr>
                <w:rFonts w:hint="default" w:ascii="Times New Roman" w:hAnsi="Times New Roman" w:eastAsia="宋体" w:cs="Times New Roman"/>
                <w:color w:val="auto"/>
                <w:spacing w:val="12"/>
                <w:sz w:val="24"/>
                <w:szCs w:val="24"/>
                <w:highlight w:val="none"/>
                <w:lang w:val="en-US" w:eastAsia="zh-CN"/>
              </w:rPr>
              <w:t>均可满足《电磁环境控制限值》（GB8702-2014）规定的4000V/m、10</w:t>
            </w:r>
            <w:r>
              <w:rPr>
                <w:rFonts w:hint="eastAsia" w:cs="Times New Roman"/>
                <w:color w:val="auto"/>
                <w:spacing w:val="12"/>
                <w:sz w:val="24"/>
                <w:szCs w:val="24"/>
                <w:highlight w:val="none"/>
                <w:lang w:val="en-US" w:eastAsia="zh-CN"/>
              </w:rPr>
              <w:t>0</w:t>
            </w:r>
            <w:r>
              <w:rPr>
                <w:rFonts w:hint="default" w:ascii="Times New Roman" w:hAnsi="Times New Roman" w:eastAsia="宋体" w:cs="Times New Roman"/>
                <w:color w:val="auto"/>
                <w:spacing w:val="12"/>
                <w:sz w:val="24"/>
                <w:szCs w:val="24"/>
                <w:highlight w:val="none"/>
                <w:lang w:val="en-US" w:eastAsia="zh-CN"/>
              </w:rPr>
              <w:t>μT的公众曝露限值要求。</w:t>
            </w:r>
          </w:p>
          <w:bookmarkEnd w:id="30"/>
          <w:bookmarkEnd w:id="31"/>
          <w:bookmarkEnd w:id="32"/>
          <w:bookmarkEnd w:id="33"/>
          <w:bookmarkEnd w:id="34"/>
          <w:bookmarkEnd w:id="35"/>
          <w:p w14:paraId="16DCD6AC">
            <w:pPr>
              <w:keepNext w:val="0"/>
              <w:keepLines w:val="0"/>
              <w:pageBreakBefore w:val="0"/>
              <w:widowControl w:val="0"/>
              <w:kinsoku/>
              <w:wordWrap/>
              <w:overflowPunct/>
              <w:topLinePunct w:val="0"/>
              <w:autoSpaceDE/>
              <w:autoSpaceDN w:val="0"/>
              <w:bidi w:val="0"/>
              <w:adjustRightInd/>
              <w:spacing w:line="348" w:lineRule="auto"/>
              <w:ind w:firstLine="482"/>
              <w:textAlignment w:val="auto"/>
              <w:rPr>
                <w:bCs/>
                <w:color w:val="auto"/>
                <w:sz w:val="24"/>
                <w:highlight w:val="none"/>
              </w:rPr>
            </w:pPr>
            <w:r>
              <w:rPr>
                <w:rFonts w:hint="eastAsia"/>
                <w:b/>
                <w:bCs/>
                <w:color w:val="auto"/>
                <w:sz w:val="24"/>
                <w:highlight w:val="none"/>
              </w:rPr>
              <w:t>电磁环境影响分析详见《电磁环境影响专题评价》。</w:t>
            </w:r>
          </w:p>
          <w:p w14:paraId="4B19EDBB">
            <w:pPr>
              <w:keepNext w:val="0"/>
              <w:keepLines w:val="0"/>
              <w:pageBreakBefore w:val="0"/>
              <w:widowControl w:val="0"/>
              <w:tabs>
                <w:tab w:val="left" w:pos="0"/>
              </w:tabs>
              <w:kinsoku/>
              <w:wordWrap/>
              <w:overflowPunct/>
              <w:topLinePunct w:val="0"/>
              <w:autoSpaceDE/>
              <w:bidi w:val="0"/>
              <w:adjustRightInd/>
              <w:snapToGrid w:val="0"/>
              <w:spacing w:line="348" w:lineRule="auto"/>
              <w:textAlignment w:val="auto"/>
              <w:rPr>
                <w:b/>
                <w:color w:val="auto"/>
                <w:sz w:val="24"/>
                <w:highlight w:val="none"/>
              </w:rPr>
            </w:pPr>
            <w:r>
              <w:rPr>
                <w:b/>
                <w:color w:val="auto"/>
                <w:sz w:val="24"/>
                <w:highlight w:val="none"/>
              </w:rPr>
              <w:t>3</w:t>
            </w:r>
            <w:r>
              <w:rPr>
                <w:rFonts w:hint="eastAsia"/>
                <w:b/>
                <w:color w:val="auto"/>
                <w:sz w:val="24"/>
                <w:highlight w:val="none"/>
              </w:rPr>
              <w:t>.</w:t>
            </w:r>
            <w:r>
              <w:rPr>
                <w:b/>
                <w:color w:val="auto"/>
                <w:sz w:val="24"/>
                <w:highlight w:val="none"/>
              </w:rPr>
              <w:t>声环境影响分析</w:t>
            </w:r>
          </w:p>
          <w:p w14:paraId="773A1050">
            <w:pPr>
              <w:pageBreakBefore w:val="0"/>
              <w:widowControl w:val="0"/>
              <w:kinsoku/>
              <w:wordWrap/>
              <w:overflowPunct/>
              <w:topLinePunct w:val="0"/>
              <w:autoSpaceDE/>
              <w:autoSpaceDN w:val="0"/>
              <w:bidi w:val="0"/>
              <w:adjustRightInd/>
              <w:spacing w:line="348" w:lineRule="auto"/>
              <w:ind w:firstLine="480" w:firstLineChars="200"/>
              <w:textAlignment w:val="auto"/>
              <w:rPr>
                <w:rFonts w:hint="default" w:eastAsia="宋体"/>
                <w:bCs/>
                <w:color w:val="auto"/>
                <w:sz w:val="24"/>
                <w:highlight w:val="none"/>
                <w:lang w:val="en-US" w:eastAsia="zh-CN"/>
              </w:rPr>
            </w:pPr>
            <w:r>
              <w:rPr>
                <w:rFonts w:hint="eastAsia"/>
                <w:bCs/>
                <w:color w:val="auto"/>
                <w:sz w:val="24"/>
                <w:highlight w:val="none"/>
                <w:lang w:val="en-US" w:eastAsia="zh-CN"/>
              </w:rPr>
              <w:t>调整黄村变接线方式工程中涉及的架空跳线段，导线及杆塔均为利旧，不涉及新建架空线路和新导线。改造完成后，该段线路的导线型号、排列方式、对地高度均不发生变化，无新增声源</w:t>
            </w:r>
            <w:r>
              <w:rPr>
                <w:rFonts w:hint="eastAsia"/>
                <w:color w:val="auto"/>
                <w:sz w:val="24"/>
                <w:highlight w:val="none"/>
              </w:rPr>
              <w:t>，对</w:t>
            </w:r>
            <w:r>
              <w:rPr>
                <w:rFonts w:hint="eastAsia"/>
                <w:color w:val="auto"/>
                <w:sz w:val="24"/>
                <w:highlight w:val="none"/>
                <w:lang w:val="en-US" w:eastAsia="zh-CN"/>
              </w:rPr>
              <w:t>周围</w:t>
            </w:r>
            <w:r>
              <w:rPr>
                <w:rFonts w:hint="eastAsia"/>
                <w:color w:val="auto"/>
                <w:sz w:val="24"/>
                <w:highlight w:val="none"/>
              </w:rPr>
              <w:t>影响较小，</w:t>
            </w:r>
            <w:r>
              <w:rPr>
                <w:rFonts w:hint="eastAsia"/>
                <w:color w:val="auto"/>
                <w:sz w:val="24"/>
                <w:highlight w:val="none"/>
                <w:lang w:val="en-US" w:eastAsia="zh-CN"/>
              </w:rPr>
              <w:t>改造</w:t>
            </w:r>
            <w:r>
              <w:rPr>
                <w:color w:val="auto"/>
                <w:sz w:val="24"/>
                <w:highlight w:val="none"/>
              </w:rPr>
              <w:t>完成后噪声能够维持</w:t>
            </w:r>
            <w:r>
              <w:rPr>
                <w:rFonts w:hint="eastAsia"/>
                <w:color w:val="auto"/>
                <w:sz w:val="24"/>
                <w:highlight w:val="none"/>
                <w:lang w:val="en-US" w:eastAsia="zh-CN"/>
              </w:rPr>
              <w:t>相当</w:t>
            </w:r>
            <w:r>
              <w:rPr>
                <w:color w:val="auto"/>
                <w:sz w:val="24"/>
                <w:highlight w:val="none"/>
              </w:rPr>
              <w:t>水平，不会增加新的影响。</w:t>
            </w:r>
            <w:r>
              <w:rPr>
                <w:rFonts w:hint="eastAsia"/>
                <w:bCs/>
                <w:color w:val="auto"/>
                <w:sz w:val="24"/>
                <w:highlight w:val="none"/>
                <w:lang w:val="en-US" w:eastAsia="zh-CN"/>
              </w:rPr>
              <w:t>因此，以本项目现状监测反映投运后的</w:t>
            </w:r>
            <w:r>
              <w:rPr>
                <w:color w:val="auto"/>
                <w:sz w:val="24"/>
                <w:highlight w:val="none"/>
              </w:rPr>
              <w:t>声环境影响是可行的</w:t>
            </w:r>
            <w:r>
              <w:rPr>
                <w:rFonts w:hint="eastAsia"/>
                <w:bCs/>
                <w:color w:val="auto"/>
                <w:sz w:val="24"/>
                <w:highlight w:val="none"/>
                <w:lang w:val="en-US" w:eastAsia="zh-CN"/>
              </w:rPr>
              <w:t>。</w:t>
            </w:r>
          </w:p>
          <w:p w14:paraId="431CD84B">
            <w:pPr>
              <w:pageBreakBefore w:val="0"/>
              <w:widowControl w:val="0"/>
              <w:kinsoku/>
              <w:wordWrap/>
              <w:overflowPunct/>
              <w:topLinePunct w:val="0"/>
              <w:autoSpaceDE/>
              <w:bidi w:val="0"/>
              <w:adjustRightInd/>
              <w:spacing w:line="348" w:lineRule="auto"/>
              <w:ind w:firstLine="480" w:firstLineChars="200"/>
              <w:textAlignment w:val="auto"/>
              <w:rPr>
                <w:rFonts w:hint="eastAsia"/>
                <w:color w:val="auto"/>
                <w:sz w:val="24"/>
                <w:szCs w:val="24"/>
                <w:highlight w:val="none"/>
                <w:lang w:eastAsia="zh-CN"/>
              </w:rPr>
            </w:pPr>
            <w:r>
              <w:rPr>
                <w:rFonts w:hint="eastAsia"/>
                <w:color w:val="auto"/>
                <w:kern w:val="0"/>
                <w:sz w:val="24"/>
                <w:szCs w:val="24"/>
                <w:highlight w:val="none"/>
                <w:lang w:val="en-US" w:eastAsia="zh-CN"/>
              </w:rPr>
              <w:t>根据</w:t>
            </w:r>
            <w:r>
              <w:rPr>
                <w:rFonts w:hint="eastAsia"/>
                <w:color w:val="auto"/>
                <w:kern w:val="0"/>
                <w:sz w:val="24"/>
                <w:szCs w:val="24"/>
                <w:highlight w:val="none"/>
                <w:lang w:eastAsia="zh-CN"/>
              </w:rPr>
              <w:t>噪声</w:t>
            </w:r>
            <w:r>
              <w:rPr>
                <w:color w:val="auto"/>
                <w:kern w:val="0"/>
                <w:sz w:val="24"/>
                <w:szCs w:val="24"/>
                <w:highlight w:val="none"/>
              </w:rPr>
              <w:t>监测结果</w:t>
            </w:r>
            <w:r>
              <w:rPr>
                <w:rFonts w:hint="eastAsia"/>
                <w:color w:val="auto"/>
                <w:kern w:val="0"/>
                <w:sz w:val="24"/>
                <w:szCs w:val="24"/>
                <w:highlight w:val="none"/>
                <w:lang w:eastAsia="zh-CN"/>
              </w:rPr>
              <w:t>（</w:t>
            </w:r>
            <w:r>
              <w:rPr>
                <w:rFonts w:hint="eastAsia"/>
                <w:color w:val="auto"/>
                <w:kern w:val="0"/>
                <w:sz w:val="24"/>
                <w:szCs w:val="24"/>
                <w:highlight w:val="none"/>
                <w:lang w:val="en-US" w:eastAsia="zh-CN"/>
              </w:rPr>
              <w:t>见本环评第三章“4.声环境质量现状”</w:t>
            </w:r>
            <w:r>
              <w:rPr>
                <w:rFonts w:hint="eastAsia"/>
                <w:color w:val="auto"/>
                <w:kern w:val="0"/>
                <w:sz w:val="24"/>
                <w:szCs w:val="24"/>
                <w:highlight w:val="none"/>
                <w:lang w:eastAsia="zh-CN"/>
              </w:rPr>
              <w:t>），</w:t>
            </w:r>
            <w:r>
              <w:rPr>
                <w:rFonts w:hint="eastAsia" w:cs="Times New Roman"/>
                <w:color w:val="auto"/>
                <w:sz w:val="24"/>
                <w:szCs w:val="24"/>
                <w:highlight w:val="none"/>
                <w:lang w:val="en-US" w:eastAsia="zh-CN"/>
              </w:rPr>
              <w:t>跳线沟通段架空</w:t>
            </w:r>
            <w:r>
              <w:rPr>
                <w:rFonts w:hint="default" w:ascii="Times New Roman" w:hAnsi="Times New Roman" w:cs="Times New Roman"/>
                <w:color w:val="auto"/>
                <w:sz w:val="24"/>
                <w:szCs w:val="24"/>
                <w:highlight w:val="none"/>
                <w:lang w:val="en-US" w:eastAsia="zh-CN"/>
              </w:rPr>
              <w:t>线路声环境现状</w:t>
            </w:r>
            <w:r>
              <w:rPr>
                <w:rFonts w:hint="default" w:ascii="Times New Roman" w:hAnsi="Times New Roman" w:cs="Times New Roman"/>
                <w:color w:val="auto"/>
                <w:sz w:val="24"/>
                <w:szCs w:val="24"/>
                <w:highlight w:val="none"/>
              </w:rPr>
              <w:t>测点处噪声监测值昼间</w:t>
            </w:r>
            <w:r>
              <w:rPr>
                <w:rFonts w:hint="eastAsia" w:cs="Times New Roman"/>
                <w:color w:val="auto"/>
                <w:sz w:val="24"/>
                <w:szCs w:val="24"/>
                <w:highlight w:val="none"/>
                <w:lang w:val="en-US" w:eastAsia="zh-CN"/>
              </w:rPr>
              <w:t>为65</w:t>
            </w:r>
            <w:r>
              <w:rPr>
                <w:rFonts w:hint="default" w:ascii="Times New Roman" w:hAnsi="Times New Roman" w:cs="Times New Roman"/>
                <w:color w:val="auto"/>
                <w:sz w:val="24"/>
                <w:szCs w:val="24"/>
                <w:highlight w:val="none"/>
              </w:rPr>
              <w:t>dB</w:t>
            </w:r>
            <w:r>
              <w:rPr>
                <w:rFonts w:hint="eastAsia" w:cs="Times New Roman"/>
                <w:color w:val="auto"/>
                <w:sz w:val="24"/>
                <w:szCs w:val="24"/>
                <w:highlight w:val="none"/>
                <w:lang w:eastAsia="zh-CN"/>
              </w:rPr>
              <w:t>(A)</w:t>
            </w:r>
            <w:r>
              <w:rPr>
                <w:rFonts w:hint="default" w:ascii="Times New Roman" w:hAnsi="Times New Roman" w:cs="Times New Roman"/>
                <w:color w:val="auto"/>
                <w:sz w:val="24"/>
                <w:szCs w:val="24"/>
                <w:highlight w:val="none"/>
              </w:rPr>
              <w:t>，夜间监测值</w:t>
            </w:r>
            <w:r>
              <w:rPr>
                <w:rFonts w:hint="eastAsia" w:cs="Times New Roman"/>
                <w:color w:val="auto"/>
                <w:sz w:val="24"/>
                <w:szCs w:val="24"/>
                <w:highlight w:val="none"/>
                <w:lang w:val="en-US" w:eastAsia="zh-CN"/>
              </w:rPr>
              <w:t>为53</w:t>
            </w:r>
            <w:r>
              <w:rPr>
                <w:rFonts w:hint="default" w:ascii="Times New Roman" w:hAnsi="Times New Roman" w:cs="Times New Roman"/>
                <w:color w:val="auto"/>
                <w:sz w:val="24"/>
                <w:szCs w:val="24"/>
                <w:highlight w:val="none"/>
              </w:rPr>
              <w:t>dB</w:t>
            </w:r>
            <w:r>
              <w:rPr>
                <w:rFonts w:hint="eastAsia" w:cs="Times New Roman"/>
                <w:color w:val="auto"/>
                <w:sz w:val="24"/>
                <w:szCs w:val="24"/>
                <w:highlight w:val="none"/>
                <w:lang w:eastAsia="zh-CN"/>
              </w:rPr>
              <w:t>(A)</w:t>
            </w:r>
            <w:r>
              <w:rPr>
                <w:rFonts w:hint="default" w:ascii="Times New Roman" w:hAnsi="Times New Roman" w:cs="Times New Roman"/>
                <w:color w:val="auto"/>
                <w:sz w:val="24"/>
                <w:szCs w:val="24"/>
                <w:highlight w:val="none"/>
              </w:rPr>
              <w:t>，满足《声环境质量标准》（GB3096-2008）中</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4a</w:t>
            </w:r>
            <w:r>
              <w:rPr>
                <w:rFonts w:hint="default" w:ascii="Times New Roman" w:hAnsi="Times New Roman" w:cs="Times New Roman"/>
                <w:color w:val="auto"/>
                <w:sz w:val="24"/>
                <w:szCs w:val="24"/>
                <w:highlight w:val="none"/>
              </w:rPr>
              <w:t>类</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标准限值要求</w:t>
            </w:r>
            <w:r>
              <w:rPr>
                <w:rFonts w:hint="default" w:ascii="Times New Roman" w:hAnsi="Times New Roman" w:cs="Times New Roman"/>
                <w:color w:val="auto"/>
                <w:sz w:val="24"/>
                <w:szCs w:val="24"/>
                <w:highlight w:val="none"/>
                <w:lang w:eastAsia="zh-CN"/>
              </w:rPr>
              <w:t>。</w:t>
            </w:r>
          </w:p>
          <w:p w14:paraId="63F4A57C">
            <w:pPr>
              <w:pStyle w:val="120"/>
              <w:pageBreakBefore w:val="0"/>
              <w:widowControl w:val="0"/>
              <w:kinsoku/>
              <w:wordWrap/>
              <w:overflowPunct/>
              <w:topLinePunct w:val="0"/>
              <w:autoSpaceDE/>
              <w:bidi w:val="0"/>
              <w:adjustRightInd/>
              <w:spacing w:line="348" w:lineRule="auto"/>
              <w:ind w:firstLine="0" w:firstLineChars="0"/>
              <w:textAlignment w:val="auto"/>
              <w:rPr>
                <w:b/>
                <w:bCs/>
                <w:color w:val="auto"/>
                <w:highlight w:val="none"/>
              </w:rPr>
            </w:pPr>
            <w:r>
              <w:rPr>
                <w:rFonts w:hint="eastAsia"/>
                <w:b/>
                <w:bCs/>
                <w:color w:val="auto"/>
                <w:highlight w:val="none"/>
                <w:lang w:val="en-US" w:eastAsia="zh-CN"/>
              </w:rPr>
              <w:t>4</w:t>
            </w:r>
            <w:r>
              <w:rPr>
                <w:rFonts w:hint="eastAsia"/>
                <w:b/>
                <w:bCs/>
                <w:color w:val="auto"/>
                <w:highlight w:val="none"/>
              </w:rPr>
              <w:t>.地表水环境影响分析</w:t>
            </w:r>
          </w:p>
          <w:p w14:paraId="67EF3214">
            <w:pPr>
              <w:pageBreakBefore w:val="0"/>
              <w:widowControl w:val="0"/>
              <w:kinsoku/>
              <w:wordWrap/>
              <w:overflowPunct/>
              <w:topLinePunct w:val="0"/>
              <w:autoSpaceDE/>
              <w:autoSpaceDN w:val="0"/>
              <w:bidi w:val="0"/>
              <w:adjustRightInd/>
              <w:spacing w:line="348" w:lineRule="auto"/>
              <w:ind w:firstLine="480" w:firstLineChars="200"/>
              <w:textAlignment w:val="auto"/>
              <w:rPr>
                <w:rFonts w:hint="eastAsia"/>
                <w:color w:val="auto"/>
                <w:sz w:val="24"/>
                <w:highlight w:val="none"/>
                <w:lang w:bidi="ar"/>
              </w:rPr>
            </w:pPr>
            <w:r>
              <w:rPr>
                <w:rFonts w:hint="eastAsia" w:ascii="Times New Roman" w:hAnsi="Times New Roman" w:eastAsia="宋体" w:cs="Times New Roman"/>
                <w:bCs/>
                <w:color w:val="auto"/>
                <w:sz w:val="24"/>
                <w:highlight w:val="none"/>
                <w:lang w:val="en-US" w:eastAsia="zh-CN"/>
              </w:rPr>
              <w:t>电缆</w:t>
            </w:r>
            <w:r>
              <w:rPr>
                <w:rFonts w:hint="eastAsia"/>
                <w:color w:val="auto"/>
                <w:sz w:val="24"/>
                <w:highlight w:val="none"/>
                <w:lang w:bidi="ar"/>
              </w:rPr>
              <w:t>线路运行期间无废水产生，对外环境无影响。</w:t>
            </w:r>
          </w:p>
          <w:p w14:paraId="270ECBF0">
            <w:pPr>
              <w:pageBreakBefore w:val="0"/>
              <w:widowControl w:val="0"/>
              <w:tabs>
                <w:tab w:val="left" w:pos="0"/>
              </w:tabs>
              <w:kinsoku/>
              <w:wordWrap/>
              <w:overflowPunct/>
              <w:topLinePunct w:val="0"/>
              <w:autoSpaceDE/>
              <w:bidi w:val="0"/>
              <w:adjustRightInd/>
              <w:snapToGrid w:val="0"/>
              <w:spacing w:line="348" w:lineRule="auto"/>
              <w:textAlignment w:val="auto"/>
              <w:rPr>
                <w:b/>
                <w:color w:val="auto"/>
                <w:sz w:val="24"/>
                <w:highlight w:val="none"/>
              </w:rPr>
            </w:pPr>
            <w:bookmarkStart w:id="36" w:name="_Toc521601193"/>
            <w:bookmarkStart w:id="37" w:name="_Toc521425941"/>
            <w:bookmarkStart w:id="38" w:name="_Toc6927959"/>
            <w:bookmarkStart w:id="39" w:name="_Toc10264"/>
            <w:bookmarkStart w:id="40" w:name="_Toc521573966"/>
            <w:r>
              <w:rPr>
                <w:rFonts w:hint="eastAsia"/>
                <w:b/>
                <w:color w:val="auto"/>
                <w:sz w:val="24"/>
                <w:highlight w:val="none"/>
                <w:lang w:val="en-US" w:eastAsia="zh-CN"/>
              </w:rPr>
              <w:t>5</w:t>
            </w:r>
            <w:r>
              <w:rPr>
                <w:rFonts w:hint="eastAsia"/>
                <w:b/>
                <w:color w:val="auto"/>
                <w:sz w:val="24"/>
                <w:highlight w:val="none"/>
              </w:rPr>
              <w:t>.固体废物</w:t>
            </w:r>
            <w:r>
              <w:rPr>
                <w:b/>
                <w:color w:val="auto"/>
                <w:sz w:val="24"/>
                <w:highlight w:val="none"/>
              </w:rPr>
              <w:t>环境影响分析</w:t>
            </w:r>
          </w:p>
          <w:bookmarkEnd w:id="36"/>
          <w:bookmarkEnd w:id="37"/>
          <w:bookmarkEnd w:id="38"/>
          <w:bookmarkEnd w:id="39"/>
          <w:bookmarkEnd w:id="40"/>
          <w:p w14:paraId="2E4442FB">
            <w:pPr>
              <w:pageBreakBefore w:val="0"/>
              <w:widowControl w:val="0"/>
              <w:kinsoku/>
              <w:wordWrap/>
              <w:overflowPunct/>
              <w:topLinePunct w:val="0"/>
              <w:autoSpaceDE/>
              <w:autoSpaceDN w:val="0"/>
              <w:bidi w:val="0"/>
              <w:adjustRightInd/>
              <w:spacing w:line="348" w:lineRule="auto"/>
              <w:ind w:firstLine="480" w:firstLineChars="200"/>
              <w:textAlignment w:val="auto"/>
              <w:rPr>
                <w:bCs/>
                <w:color w:val="auto"/>
                <w:sz w:val="24"/>
                <w:highlight w:val="none"/>
              </w:rPr>
            </w:pPr>
            <w:r>
              <w:rPr>
                <w:rFonts w:hint="eastAsia"/>
                <w:bCs/>
                <w:color w:val="auto"/>
                <w:sz w:val="24"/>
                <w:highlight w:val="none"/>
              </w:rPr>
              <w:t>输电线路运行期间无固体废物产生，对外环境无影响。</w:t>
            </w:r>
          </w:p>
          <w:p w14:paraId="6D5CB19F">
            <w:pPr>
              <w:pStyle w:val="237"/>
              <w:pageBreakBefore w:val="0"/>
              <w:widowControl w:val="0"/>
              <w:kinsoku/>
              <w:wordWrap/>
              <w:overflowPunct/>
              <w:topLinePunct w:val="0"/>
              <w:autoSpaceDE/>
              <w:bidi w:val="0"/>
              <w:adjustRightInd/>
              <w:spacing w:line="348" w:lineRule="auto"/>
              <w:ind w:firstLine="0" w:firstLineChars="0"/>
              <w:textAlignment w:val="auto"/>
              <w:rPr>
                <w:color w:val="auto"/>
                <w:szCs w:val="24"/>
                <w:highlight w:val="none"/>
              </w:rPr>
            </w:pPr>
            <w:r>
              <w:rPr>
                <w:rFonts w:hint="eastAsia"/>
                <w:color w:val="auto"/>
                <w:szCs w:val="24"/>
                <w:highlight w:val="none"/>
                <w:lang w:val="en-US" w:eastAsia="zh-CN"/>
              </w:rPr>
              <w:t>6</w:t>
            </w:r>
            <w:r>
              <w:rPr>
                <w:color w:val="auto"/>
                <w:szCs w:val="24"/>
                <w:highlight w:val="none"/>
              </w:rPr>
              <w:t>.大气环境影响分析</w:t>
            </w:r>
          </w:p>
          <w:p w14:paraId="1BB71A49">
            <w:pPr>
              <w:pStyle w:val="120"/>
              <w:pageBreakBefore w:val="0"/>
              <w:widowControl w:val="0"/>
              <w:kinsoku/>
              <w:wordWrap/>
              <w:overflowPunct/>
              <w:topLinePunct w:val="0"/>
              <w:autoSpaceDE/>
              <w:bidi w:val="0"/>
              <w:adjustRightInd/>
              <w:spacing w:line="348" w:lineRule="auto"/>
              <w:ind w:firstLine="480"/>
              <w:textAlignment w:val="auto"/>
              <w:rPr>
                <w:color w:val="auto"/>
                <w:sz w:val="21"/>
                <w:szCs w:val="21"/>
                <w:highlight w:val="none"/>
              </w:rPr>
            </w:pPr>
            <w:r>
              <w:rPr>
                <w:color w:val="auto"/>
                <w:highlight w:val="none"/>
              </w:rPr>
              <w:t>本</w:t>
            </w:r>
            <w:r>
              <w:rPr>
                <w:rFonts w:hint="eastAsia"/>
                <w:color w:val="auto"/>
                <w:highlight w:val="none"/>
              </w:rPr>
              <w:t>项目</w:t>
            </w:r>
            <w:r>
              <w:rPr>
                <w:color w:val="auto"/>
                <w:highlight w:val="none"/>
              </w:rPr>
              <w:t>运行期间无大气污染</w:t>
            </w:r>
            <w:bookmarkStart w:id="41" w:name="_Toc10275"/>
            <w:bookmarkStart w:id="42" w:name="_Toc521573968"/>
            <w:bookmarkStart w:id="43" w:name="_Toc521601195"/>
            <w:bookmarkStart w:id="44" w:name="_Toc521425943"/>
            <w:r>
              <w:rPr>
                <w:color w:val="auto"/>
                <w:highlight w:val="none"/>
              </w:rPr>
              <w:t>物排放。</w:t>
            </w:r>
            <w:bookmarkEnd w:id="41"/>
            <w:bookmarkEnd w:id="42"/>
            <w:bookmarkEnd w:id="43"/>
            <w:bookmarkEnd w:id="44"/>
          </w:p>
        </w:tc>
      </w:tr>
      <w:tr w14:paraId="47C1A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3" w:type="pct"/>
            <w:tcMar>
              <w:left w:w="28" w:type="dxa"/>
              <w:right w:w="28" w:type="dxa"/>
            </w:tcMar>
            <w:vAlign w:val="center"/>
          </w:tcPr>
          <w:p w14:paraId="4E57CDA2">
            <w:pPr>
              <w:pStyle w:val="39"/>
              <w:adjustRightInd w:val="0"/>
              <w:snapToGrid w:val="0"/>
              <w:spacing w:before="0" w:beforeAutospacing="0" w:after="0" w:afterAutospacing="0"/>
              <w:jc w:val="center"/>
              <w:rPr>
                <w:rFonts w:ascii="Times New Roman" w:hAnsi="Times New Roman"/>
                <w:bCs/>
                <w:color w:val="auto"/>
                <w:spacing w:val="10"/>
                <w:kern w:val="2"/>
                <w:szCs w:val="24"/>
                <w:highlight w:val="none"/>
              </w:rPr>
            </w:pPr>
            <w:r>
              <w:rPr>
                <w:rFonts w:hint="eastAsia" w:ascii="Times New Roman" w:hAnsi="Times New Roman"/>
                <w:bCs/>
                <w:color w:val="auto"/>
                <w:spacing w:val="10"/>
                <w:kern w:val="2"/>
                <w:szCs w:val="24"/>
                <w:highlight w:val="none"/>
              </w:rPr>
              <w:t>选址选线环境合理性分析</w:t>
            </w:r>
          </w:p>
        </w:tc>
        <w:tc>
          <w:tcPr>
            <w:tcW w:w="4776" w:type="pct"/>
            <w:vAlign w:val="center"/>
          </w:tcPr>
          <w:p w14:paraId="197899B1">
            <w:pPr>
              <w:tabs>
                <w:tab w:val="left" w:pos="0"/>
              </w:tabs>
              <w:snapToGrid w:val="0"/>
              <w:spacing w:before="120" w:line="360" w:lineRule="auto"/>
              <w:rPr>
                <w:b/>
                <w:color w:val="auto"/>
                <w:sz w:val="24"/>
                <w:highlight w:val="none"/>
              </w:rPr>
            </w:pPr>
            <w:r>
              <w:rPr>
                <w:rFonts w:hint="eastAsia"/>
                <w:b/>
                <w:color w:val="auto"/>
                <w:sz w:val="24"/>
                <w:highlight w:val="none"/>
                <w:lang w:val="en-US" w:eastAsia="zh-CN"/>
              </w:rPr>
              <w:t>1</w:t>
            </w:r>
            <w:r>
              <w:rPr>
                <w:b/>
                <w:color w:val="auto"/>
                <w:sz w:val="24"/>
                <w:highlight w:val="none"/>
              </w:rPr>
              <w:t>.环境制约因素分析</w:t>
            </w:r>
          </w:p>
          <w:p w14:paraId="42ACECF9">
            <w:pPr>
              <w:autoSpaceDN w:val="0"/>
              <w:spacing w:line="360" w:lineRule="auto"/>
              <w:ind w:firstLine="480" w:firstLineChars="200"/>
              <w:rPr>
                <w:bCs/>
                <w:color w:val="auto"/>
                <w:sz w:val="24"/>
                <w:highlight w:val="none"/>
              </w:rPr>
            </w:pPr>
            <w:r>
              <w:rPr>
                <w:bCs/>
                <w:color w:val="auto"/>
                <w:sz w:val="24"/>
                <w:highlight w:val="none"/>
              </w:rPr>
              <w:t>本项目</w:t>
            </w:r>
            <w:r>
              <w:rPr>
                <w:rFonts w:hint="eastAsia"/>
                <w:bCs/>
                <w:color w:val="auto"/>
                <w:sz w:val="24"/>
                <w:highlight w:val="none"/>
                <w:lang w:val="en-US" w:eastAsia="zh-CN"/>
              </w:rPr>
              <w:t>线路</w:t>
            </w:r>
            <w:r>
              <w:rPr>
                <w:bCs/>
                <w:color w:val="auto"/>
                <w:sz w:val="24"/>
                <w:highlight w:val="none"/>
              </w:rPr>
              <w:t>路径不涉及</w:t>
            </w:r>
            <w:r>
              <w:rPr>
                <w:rFonts w:hint="eastAsia"/>
                <w:bCs/>
                <w:color w:val="auto"/>
                <w:sz w:val="24"/>
                <w:highlight w:val="none"/>
                <w:lang w:eastAsia="zh-CN"/>
              </w:rPr>
              <w:t>柳州市</w:t>
            </w:r>
            <w:r>
              <w:rPr>
                <w:bCs/>
                <w:color w:val="auto"/>
                <w:sz w:val="24"/>
                <w:highlight w:val="none"/>
              </w:rPr>
              <w:t>生态保护红线，不涉及</w:t>
            </w:r>
            <w:bookmarkStart w:id="45" w:name="_Hlk132365515"/>
            <w:r>
              <w:rPr>
                <w:bCs/>
                <w:color w:val="auto"/>
                <w:sz w:val="24"/>
                <w:highlight w:val="none"/>
              </w:rPr>
              <w:t>国家公园、自然保护区、风景名胜区、世界文化和自然遗产地、海洋特别保护区</w:t>
            </w:r>
            <w:r>
              <w:rPr>
                <w:rFonts w:hint="eastAsia"/>
                <w:bCs/>
                <w:color w:val="auto"/>
                <w:sz w:val="24"/>
                <w:highlight w:val="none"/>
                <w:lang w:eastAsia="zh-CN"/>
              </w:rPr>
              <w:t>、</w:t>
            </w:r>
            <w:r>
              <w:rPr>
                <w:rFonts w:hint="eastAsia"/>
                <w:bCs/>
                <w:color w:val="auto"/>
                <w:sz w:val="24"/>
                <w:highlight w:val="none"/>
                <w:lang w:val="en-US" w:eastAsia="zh-CN"/>
              </w:rPr>
              <w:t>饮用水水源保护区</w:t>
            </w:r>
            <w:r>
              <w:rPr>
                <w:bCs/>
                <w:color w:val="auto"/>
                <w:sz w:val="24"/>
                <w:highlight w:val="none"/>
              </w:rPr>
              <w:t>等环境敏感区</w:t>
            </w:r>
            <w:bookmarkEnd w:id="45"/>
            <w:r>
              <w:rPr>
                <w:bCs/>
                <w:color w:val="auto"/>
                <w:sz w:val="24"/>
                <w:highlight w:val="none"/>
              </w:rPr>
              <w:t>。线路沿线不涉及0类声功能区</w:t>
            </w:r>
            <w:r>
              <w:rPr>
                <w:rFonts w:hint="eastAsia"/>
                <w:bCs/>
                <w:color w:val="auto"/>
                <w:sz w:val="24"/>
                <w:highlight w:val="none"/>
                <w:lang w:eastAsia="zh-CN"/>
              </w:rPr>
              <w:t>。</w:t>
            </w:r>
            <w:r>
              <w:rPr>
                <w:bCs/>
                <w:color w:val="auto"/>
                <w:sz w:val="24"/>
                <w:highlight w:val="none"/>
              </w:rPr>
              <w:t>本项目为电力基础设施项目，不属于排污类项目，不属于相关区域内禁止建设项目，符合其管控要求。</w:t>
            </w:r>
          </w:p>
          <w:p w14:paraId="7F0BE5D8">
            <w:pPr>
              <w:autoSpaceDN w:val="0"/>
              <w:spacing w:line="360" w:lineRule="auto"/>
              <w:ind w:firstLine="480" w:firstLineChars="200"/>
              <w:rPr>
                <w:bCs/>
                <w:color w:val="auto"/>
                <w:sz w:val="24"/>
                <w:highlight w:val="none"/>
              </w:rPr>
            </w:pPr>
            <w:r>
              <w:rPr>
                <w:bCs/>
                <w:color w:val="auto"/>
                <w:sz w:val="24"/>
                <w:highlight w:val="none"/>
              </w:rPr>
              <w:t>因此，本项目的建设不存在环境制约因素且本项目选址具有合理性。</w:t>
            </w:r>
          </w:p>
          <w:p w14:paraId="067D8410">
            <w:pPr>
              <w:keepNext w:val="0"/>
              <w:keepLines w:val="0"/>
              <w:pageBreakBefore w:val="0"/>
              <w:widowControl w:val="0"/>
              <w:tabs>
                <w:tab w:val="left" w:pos="0"/>
              </w:tabs>
              <w:kinsoku/>
              <w:wordWrap/>
              <w:overflowPunct/>
              <w:topLinePunct w:val="0"/>
              <w:autoSpaceDE/>
              <w:autoSpaceDN/>
              <w:bidi w:val="0"/>
              <w:adjustRightInd/>
              <w:snapToGrid w:val="0"/>
              <w:spacing w:line="360" w:lineRule="auto"/>
              <w:textAlignment w:val="auto"/>
              <w:rPr>
                <w:b/>
                <w:color w:val="auto"/>
                <w:sz w:val="24"/>
                <w:highlight w:val="none"/>
              </w:rPr>
            </w:pPr>
            <w:r>
              <w:rPr>
                <w:rFonts w:hint="eastAsia"/>
                <w:b/>
                <w:color w:val="auto"/>
                <w:sz w:val="24"/>
                <w:highlight w:val="none"/>
                <w:lang w:val="en-US" w:eastAsia="zh-CN"/>
              </w:rPr>
              <w:t>2</w:t>
            </w:r>
            <w:r>
              <w:rPr>
                <w:b/>
                <w:color w:val="auto"/>
                <w:sz w:val="24"/>
                <w:highlight w:val="none"/>
              </w:rPr>
              <w:t>.环境影响程度分析</w:t>
            </w:r>
          </w:p>
          <w:p w14:paraId="0599C879">
            <w:pPr>
              <w:autoSpaceDN w:val="0"/>
              <w:spacing w:line="360" w:lineRule="auto"/>
              <w:ind w:firstLine="480" w:firstLineChars="200"/>
              <w:rPr>
                <w:rFonts w:hint="eastAsia" w:ascii="Times New Roman" w:hAnsi="Times New Roman" w:eastAsia="宋体" w:cs="Times New Roman"/>
                <w:bCs/>
                <w:color w:val="auto"/>
                <w:sz w:val="24"/>
                <w:highlight w:val="none"/>
              </w:rPr>
            </w:pPr>
            <w:r>
              <w:rPr>
                <w:rFonts w:hint="eastAsia" w:cs="Times New Roman"/>
                <w:color w:val="auto"/>
                <w:sz w:val="24"/>
                <w:highlight w:val="none"/>
                <w:lang w:val="en-US" w:eastAsia="zh-CN"/>
              </w:rPr>
              <w:t>本项目</w:t>
            </w:r>
            <w:r>
              <w:rPr>
                <w:rFonts w:hint="eastAsia" w:ascii="Times New Roman" w:hAnsi="Times New Roman" w:eastAsia="宋体" w:cs="Times New Roman"/>
                <w:color w:val="auto"/>
                <w:sz w:val="24"/>
                <w:highlight w:val="none"/>
                <w:lang w:eastAsia="zh-CN"/>
              </w:rPr>
              <w:t>输电线路</w:t>
            </w:r>
            <w:r>
              <w:rPr>
                <w:rFonts w:hint="eastAsia" w:cs="Times New Roman"/>
                <w:color w:val="auto"/>
                <w:sz w:val="24"/>
                <w:highlight w:val="none"/>
                <w:lang w:val="en-US" w:eastAsia="zh-CN"/>
              </w:rPr>
              <w:t>主要</w:t>
            </w:r>
            <w:r>
              <w:rPr>
                <w:rFonts w:hint="eastAsia" w:ascii="Times New Roman" w:hAnsi="Times New Roman" w:eastAsia="宋体" w:cs="Times New Roman"/>
                <w:color w:val="auto"/>
                <w:sz w:val="24"/>
                <w:highlight w:val="none"/>
                <w:lang w:val="en-US" w:eastAsia="zh-CN"/>
              </w:rPr>
              <w:t>采用地埋电缆敷设</w:t>
            </w:r>
            <w:r>
              <w:rPr>
                <w:rFonts w:hint="eastAsia" w:cs="Times New Roman"/>
                <w:color w:val="auto"/>
                <w:sz w:val="24"/>
                <w:highlight w:val="none"/>
                <w:lang w:val="en-US" w:eastAsia="zh-CN"/>
              </w:rPr>
              <w:t>，且大部分利用市政预留电力管沟通道敷设</w:t>
            </w: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极大的</w:t>
            </w:r>
            <w:r>
              <w:rPr>
                <w:rFonts w:hint="eastAsia" w:ascii="Times New Roman" w:hAnsi="Times New Roman" w:eastAsia="宋体" w:cs="Times New Roman"/>
                <w:bCs/>
                <w:color w:val="auto"/>
                <w:sz w:val="24"/>
                <w:highlight w:val="none"/>
              </w:rPr>
              <w:t>减少了线路走廊开辟，集约了土地利用，减少</w:t>
            </w:r>
            <w:r>
              <w:rPr>
                <w:rFonts w:hint="eastAsia" w:cs="Times New Roman"/>
                <w:bCs/>
                <w:color w:val="auto"/>
                <w:sz w:val="24"/>
                <w:highlight w:val="none"/>
                <w:lang w:val="en-US" w:eastAsia="zh-CN"/>
              </w:rPr>
              <w:t>了</w:t>
            </w:r>
            <w:r>
              <w:rPr>
                <w:rFonts w:hint="eastAsia" w:ascii="Times New Roman" w:hAnsi="Times New Roman" w:eastAsia="宋体" w:cs="Times New Roman"/>
                <w:bCs/>
                <w:color w:val="auto"/>
                <w:sz w:val="24"/>
                <w:highlight w:val="none"/>
              </w:rPr>
              <w:t>占地和植被破坏，线路施工施工量较小，工期较短。</w:t>
            </w:r>
            <w:r>
              <w:rPr>
                <w:rFonts w:hint="eastAsia" w:cs="Times New Roman"/>
                <w:bCs/>
                <w:color w:val="auto"/>
                <w:sz w:val="24"/>
                <w:highlight w:val="none"/>
                <w:lang w:val="en-US" w:eastAsia="zh-CN"/>
              </w:rPr>
              <w:t>跳线连接段</w:t>
            </w:r>
            <w:r>
              <w:rPr>
                <w:rFonts w:hint="eastAsia"/>
                <w:bCs/>
                <w:color w:val="auto"/>
                <w:sz w:val="24"/>
                <w:highlight w:val="none"/>
                <w:lang w:val="en-US" w:eastAsia="zh-CN"/>
              </w:rPr>
              <w:t>导线及杆塔均为利旧，不涉及新建架空线路和新导线。新建的1基钢管塔位于现有变电站站内，不新增占地</w:t>
            </w:r>
            <w:r>
              <w:rPr>
                <w:rFonts w:hint="eastAsia" w:cs="Times New Roman"/>
                <w:bCs/>
                <w:color w:val="auto"/>
                <w:sz w:val="24"/>
                <w:highlight w:val="none"/>
                <w:lang w:eastAsia="zh-CN"/>
              </w:rPr>
              <w:t>。</w:t>
            </w:r>
            <w:r>
              <w:rPr>
                <w:rFonts w:hint="eastAsia" w:ascii="Times New Roman" w:hAnsi="Times New Roman" w:eastAsia="宋体" w:cs="Times New Roman"/>
                <w:bCs/>
                <w:color w:val="auto"/>
                <w:sz w:val="24"/>
                <w:highlight w:val="none"/>
              </w:rPr>
              <w:t>通过采取各项环境保护措施及环境保护设施后，本项目施工期影响范围较小，影响时间较短，影响程度较小。项目建成投入运行后的主要影响是电磁环境，根据预测分析结果可知，在落实有关设计规范及本评价提出的环境保护措施条件下，本项目运行产生的电磁环境和影响均能满足相关标准要求。</w:t>
            </w:r>
          </w:p>
          <w:p w14:paraId="3F17B3B1">
            <w:pPr>
              <w:autoSpaceDN w:val="0"/>
              <w:spacing w:line="360" w:lineRule="auto"/>
              <w:ind w:firstLine="480" w:firstLineChars="200"/>
              <w:rPr>
                <w:rFonts w:hint="eastAsia" w:ascii="Times New Roman" w:hAnsi="Times New Roman" w:eastAsia="宋体" w:cs="Times New Roman"/>
                <w:bCs/>
                <w:color w:val="auto"/>
                <w:sz w:val="24"/>
                <w:highlight w:val="none"/>
              </w:rPr>
            </w:pPr>
            <w:r>
              <w:rPr>
                <w:rFonts w:hint="eastAsia" w:ascii="Times New Roman" w:hAnsi="Times New Roman" w:eastAsia="宋体" w:cs="Times New Roman"/>
                <w:bCs/>
                <w:color w:val="auto"/>
                <w:sz w:val="24"/>
                <w:highlight w:val="none"/>
              </w:rPr>
              <w:t>综上分析，本项目的选线符合相关要求，具有环境合理性。</w:t>
            </w:r>
          </w:p>
          <w:p w14:paraId="462EE37E">
            <w:pPr>
              <w:autoSpaceDN w:val="0"/>
              <w:spacing w:line="360" w:lineRule="auto"/>
              <w:ind w:firstLine="480" w:firstLineChars="200"/>
              <w:rPr>
                <w:rFonts w:hint="eastAsia" w:ascii="Times New Roman" w:hAnsi="Times New Roman" w:eastAsia="宋体" w:cs="Times New Roman"/>
                <w:bCs/>
                <w:color w:val="auto"/>
                <w:sz w:val="24"/>
                <w:highlight w:val="none"/>
              </w:rPr>
            </w:pPr>
          </w:p>
          <w:p w14:paraId="42C19916">
            <w:pPr>
              <w:autoSpaceDN w:val="0"/>
              <w:spacing w:line="360" w:lineRule="auto"/>
              <w:ind w:firstLine="480" w:firstLineChars="200"/>
              <w:rPr>
                <w:rFonts w:hint="eastAsia" w:ascii="Times New Roman" w:hAnsi="Times New Roman" w:eastAsia="宋体" w:cs="Times New Roman"/>
                <w:bCs/>
                <w:color w:val="auto"/>
                <w:sz w:val="24"/>
                <w:highlight w:val="none"/>
              </w:rPr>
            </w:pPr>
          </w:p>
          <w:p w14:paraId="70B54736">
            <w:pPr>
              <w:autoSpaceDN w:val="0"/>
              <w:spacing w:line="360" w:lineRule="auto"/>
              <w:ind w:firstLine="480" w:firstLineChars="200"/>
              <w:rPr>
                <w:rFonts w:hint="eastAsia" w:ascii="Times New Roman" w:hAnsi="Times New Roman" w:eastAsia="宋体" w:cs="Times New Roman"/>
                <w:bCs/>
                <w:color w:val="auto"/>
                <w:sz w:val="24"/>
                <w:highlight w:val="none"/>
              </w:rPr>
            </w:pPr>
          </w:p>
          <w:p w14:paraId="2E017198">
            <w:pPr>
              <w:autoSpaceDN w:val="0"/>
              <w:spacing w:line="360" w:lineRule="auto"/>
              <w:ind w:firstLine="480" w:firstLineChars="200"/>
              <w:rPr>
                <w:rFonts w:hint="eastAsia" w:ascii="Times New Roman" w:hAnsi="Times New Roman" w:eastAsia="宋体" w:cs="Times New Roman"/>
                <w:bCs/>
                <w:color w:val="auto"/>
                <w:sz w:val="24"/>
                <w:highlight w:val="none"/>
              </w:rPr>
            </w:pPr>
          </w:p>
          <w:p w14:paraId="714A6372">
            <w:pPr>
              <w:autoSpaceDN w:val="0"/>
              <w:spacing w:line="360" w:lineRule="auto"/>
              <w:ind w:firstLine="480" w:firstLineChars="200"/>
              <w:rPr>
                <w:rFonts w:hint="eastAsia" w:ascii="Times New Roman" w:hAnsi="Times New Roman" w:eastAsia="宋体" w:cs="Times New Roman"/>
                <w:bCs/>
                <w:color w:val="auto"/>
                <w:sz w:val="24"/>
                <w:highlight w:val="none"/>
              </w:rPr>
            </w:pPr>
          </w:p>
          <w:p w14:paraId="30AA8395">
            <w:pPr>
              <w:autoSpaceDN w:val="0"/>
              <w:spacing w:line="360" w:lineRule="auto"/>
              <w:ind w:firstLine="480" w:firstLineChars="200"/>
              <w:rPr>
                <w:rFonts w:hint="eastAsia" w:ascii="Times New Roman" w:hAnsi="Times New Roman" w:eastAsia="宋体" w:cs="Times New Roman"/>
                <w:bCs/>
                <w:color w:val="auto"/>
                <w:sz w:val="24"/>
                <w:highlight w:val="none"/>
              </w:rPr>
            </w:pPr>
          </w:p>
          <w:p w14:paraId="5BC9D1EC">
            <w:pPr>
              <w:autoSpaceDN w:val="0"/>
              <w:spacing w:line="360" w:lineRule="auto"/>
              <w:ind w:firstLine="480" w:firstLineChars="200"/>
              <w:rPr>
                <w:rFonts w:hint="eastAsia" w:ascii="Times New Roman" w:hAnsi="Times New Roman" w:eastAsia="宋体" w:cs="Times New Roman"/>
                <w:bCs/>
                <w:color w:val="auto"/>
                <w:sz w:val="24"/>
                <w:highlight w:val="none"/>
              </w:rPr>
            </w:pPr>
          </w:p>
          <w:p w14:paraId="7D7BF6B0">
            <w:pPr>
              <w:autoSpaceDN w:val="0"/>
              <w:spacing w:line="360" w:lineRule="auto"/>
              <w:ind w:firstLine="480" w:firstLineChars="200"/>
              <w:rPr>
                <w:rFonts w:hint="eastAsia" w:ascii="Times New Roman" w:hAnsi="Times New Roman" w:eastAsia="宋体" w:cs="Times New Roman"/>
                <w:bCs/>
                <w:color w:val="auto"/>
                <w:sz w:val="24"/>
                <w:highlight w:val="none"/>
              </w:rPr>
            </w:pPr>
          </w:p>
          <w:p w14:paraId="7946C049">
            <w:pPr>
              <w:autoSpaceDN w:val="0"/>
              <w:spacing w:line="360" w:lineRule="auto"/>
              <w:ind w:firstLine="480" w:firstLineChars="200"/>
              <w:rPr>
                <w:rFonts w:hint="eastAsia" w:ascii="Times New Roman" w:hAnsi="Times New Roman" w:eastAsia="宋体" w:cs="Times New Roman"/>
                <w:bCs/>
                <w:color w:val="auto"/>
                <w:sz w:val="24"/>
                <w:highlight w:val="none"/>
              </w:rPr>
            </w:pPr>
          </w:p>
          <w:p w14:paraId="5013E6C2">
            <w:pPr>
              <w:autoSpaceDN w:val="0"/>
              <w:spacing w:line="360" w:lineRule="auto"/>
              <w:ind w:firstLine="480" w:firstLineChars="200"/>
              <w:rPr>
                <w:rFonts w:hint="eastAsia" w:ascii="Times New Roman" w:hAnsi="Times New Roman" w:eastAsia="宋体" w:cs="Times New Roman"/>
                <w:bCs/>
                <w:color w:val="auto"/>
                <w:sz w:val="24"/>
                <w:highlight w:val="none"/>
              </w:rPr>
            </w:pPr>
          </w:p>
          <w:p w14:paraId="1B622F40">
            <w:pPr>
              <w:autoSpaceDN w:val="0"/>
              <w:spacing w:line="360" w:lineRule="auto"/>
              <w:ind w:firstLine="480" w:firstLineChars="200"/>
              <w:rPr>
                <w:rFonts w:hint="eastAsia" w:ascii="Times New Roman" w:hAnsi="Times New Roman" w:eastAsia="宋体" w:cs="Times New Roman"/>
                <w:bCs/>
                <w:color w:val="auto"/>
                <w:sz w:val="24"/>
                <w:highlight w:val="none"/>
              </w:rPr>
            </w:pPr>
          </w:p>
          <w:p w14:paraId="579489FD">
            <w:pPr>
              <w:autoSpaceDN w:val="0"/>
              <w:spacing w:line="360" w:lineRule="auto"/>
              <w:ind w:firstLine="480" w:firstLineChars="200"/>
              <w:rPr>
                <w:rFonts w:hint="eastAsia" w:ascii="Times New Roman" w:hAnsi="Times New Roman" w:eastAsia="宋体" w:cs="Times New Roman"/>
                <w:bCs/>
                <w:color w:val="auto"/>
                <w:sz w:val="24"/>
                <w:highlight w:val="none"/>
              </w:rPr>
            </w:pPr>
          </w:p>
          <w:p w14:paraId="60551648">
            <w:pPr>
              <w:autoSpaceDN w:val="0"/>
              <w:spacing w:line="360" w:lineRule="auto"/>
              <w:ind w:firstLine="480" w:firstLineChars="200"/>
              <w:rPr>
                <w:rFonts w:hint="eastAsia" w:ascii="Times New Roman" w:hAnsi="Times New Roman" w:eastAsia="宋体" w:cs="Times New Roman"/>
                <w:bCs/>
                <w:color w:val="auto"/>
                <w:sz w:val="24"/>
                <w:highlight w:val="none"/>
              </w:rPr>
            </w:pPr>
          </w:p>
        </w:tc>
      </w:tr>
    </w:tbl>
    <w:p w14:paraId="6B7D3432">
      <w:pPr>
        <w:pStyle w:val="39"/>
        <w:jc w:val="center"/>
        <w:rPr>
          <w:rFonts w:ascii="Times New Roman" w:hAnsi="Times New Roman" w:eastAsia="黑体"/>
          <w:snapToGrid w:val="0"/>
          <w:color w:val="auto"/>
          <w:sz w:val="36"/>
          <w:szCs w:val="36"/>
          <w:highlight w:val="none"/>
        </w:rPr>
        <w:sectPr>
          <w:pgSz w:w="11906" w:h="16838"/>
          <w:pgMar w:top="1134" w:right="1361" w:bottom="1134" w:left="1361" w:header="851" w:footer="1077" w:gutter="0"/>
          <w:pgBorders>
            <w:top w:val="none" w:sz="0" w:space="0"/>
            <w:left w:val="none" w:sz="0" w:space="0"/>
            <w:bottom w:val="none" w:sz="0" w:space="0"/>
            <w:right w:val="none" w:sz="0" w:space="0"/>
          </w:pgBorders>
          <w:cols w:space="720" w:num="1"/>
          <w:docGrid w:linePitch="312" w:charSpace="0"/>
        </w:sectPr>
      </w:pPr>
    </w:p>
    <w:p w14:paraId="3D486224">
      <w:pPr>
        <w:pStyle w:val="39"/>
        <w:adjustRightInd w:val="0"/>
        <w:snapToGrid w:val="0"/>
        <w:spacing w:before="0" w:beforeAutospacing="0" w:after="0" w:afterAutospacing="0" w:line="14" w:lineRule="auto"/>
        <w:jc w:val="center"/>
        <w:rPr>
          <w:rFonts w:ascii="Times New Roman" w:hAnsi="Times New Roman" w:eastAsia="黑体"/>
          <w:snapToGrid w:val="0"/>
          <w:color w:val="auto"/>
          <w:sz w:val="30"/>
          <w:szCs w:val="30"/>
          <w:highlight w:val="none"/>
        </w:rPr>
      </w:pPr>
    </w:p>
    <w:p w14:paraId="1CE9E236">
      <w:pPr>
        <w:pStyle w:val="39"/>
        <w:jc w:val="center"/>
        <w:outlineLvl w:val="0"/>
        <w:rPr>
          <w:rFonts w:ascii="Times New Roman" w:hAnsi="Times New Roman" w:eastAsia="黑体"/>
          <w:snapToGrid w:val="0"/>
          <w:color w:val="auto"/>
          <w:sz w:val="30"/>
          <w:szCs w:val="30"/>
          <w:highlight w:val="none"/>
        </w:rPr>
      </w:pPr>
      <w:bookmarkStart w:id="46" w:name="_Toc26406"/>
      <w:bookmarkStart w:id="47" w:name="_Toc70507851"/>
      <w:bookmarkStart w:id="48" w:name="_Toc79488354"/>
      <w:r>
        <w:rPr>
          <w:rFonts w:ascii="Times New Roman" w:hAnsi="Times New Roman" w:eastAsia="黑体"/>
          <w:snapToGrid w:val="0"/>
          <w:color w:val="auto"/>
          <w:sz w:val="30"/>
          <w:szCs w:val="30"/>
          <w:highlight w:val="none"/>
        </w:rPr>
        <w:t>五、主要生态环境保护措施</w:t>
      </w:r>
      <w:bookmarkEnd w:id="46"/>
      <w:bookmarkEnd w:id="47"/>
      <w:bookmarkEnd w:id="48"/>
    </w:p>
    <w:tbl>
      <w:tblPr>
        <w:tblStyle w:val="44"/>
        <w:tblW w:w="51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
        <w:gridCol w:w="9175"/>
      </w:tblGrid>
      <w:tr w14:paraId="522BB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 w:type="pct"/>
            <w:tcMar>
              <w:left w:w="28" w:type="dxa"/>
              <w:right w:w="28" w:type="dxa"/>
            </w:tcMar>
            <w:vAlign w:val="center"/>
          </w:tcPr>
          <w:p w14:paraId="5397F101">
            <w:pPr>
              <w:adjustRightInd w:val="0"/>
              <w:snapToGrid w:val="0"/>
              <w:jc w:val="center"/>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施工期生态环境保护措施</w:t>
            </w:r>
          </w:p>
        </w:tc>
        <w:tc>
          <w:tcPr>
            <w:tcW w:w="4768" w:type="pct"/>
          </w:tcPr>
          <w:p w14:paraId="0705A6D5">
            <w:pPr>
              <w:autoSpaceDN w:val="0"/>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1.生态环境保护措施</w:t>
            </w:r>
          </w:p>
          <w:p w14:paraId="7EDDE954">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（1）避让措施</w:t>
            </w:r>
          </w:p>
          <w:p w14:paraId="0968C30A">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合理规划施工临时道路、展放场等临时场地，</w:t>
            </w:r>
            <w:r>
              <w:rPr>
                <w:rFonts w:hint="eastAsia"/>
                <w:bCs/>
                <w:color w:val="auto"/>
                <w:sz w:val="24"/>
                <w:highlight w:val="none"/>
              </w:rPr>
              <w:t>合理划定施工范围和人员、车辆的行走路线，避免对施工范围之外区域的动植物造成碾压和破坏。</w:t>
            </w:r>
          </w:p>
          <w:p w14:paraId="130F1A39">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（2）减缓措施</w:t>
            </w:r>
          </w:p>
          <w:p w14:paraId="3D623377">
            <w:pPr>
              <w:keepNext w:val="0"/>
              <w:keepLines w:val="0"/>
              <w:pageBreakBefore w:val="0"/>
              <w:widowControl w:val="0"/>
              <w:kinsoku/>
              <w:wordWrap/>
              <w:overflowPunct/>
              <w:topLinePunct w:val="0"/>
              <w:autoSpaceDE/>
              <w:autoSpaceDN w:val="0"/>
              <w:bidi w:val="0"/>
              <w:adjustRightInd/>
              <w:spacing w:line="360" w:lineRule="auto"/>
              <w:ind w:firstLine="480" w:firstLineChars="200"/>
              <w:textAlignment w:val="auto"/>
              <w:rPr>
                <w:rFonts w:hint="eastAsia" w:eastAsia="宋体"/>
                <w:bCs/>
                <w:color w:val="auto"/>
                <w:sz w:val="24"/>
                <w:highlight w:val="none"/>
                <w:lang w:eastAsia="zh-CN"/>
              </w:rPr>
            </w:pPr>
            <w:r>
              <w:rPr>
                <w:bCs/>
                <w:color w:val="auto"/>
                <w:sz w:val="24"/>
                <w:highlight w:val="none"/>
              </w:rPr>
              <w:t>①</w:t>
            </w:r>
            <w:r>
              <w:rPr>
                <w:color w:val="auto"/>
                <w:sz w:val="24"/>
                <w:highlight w:val="none"/>
              </w:rPr>
              <w:t>基础开挖临时堆土应采用临时拦挡措施，用密目网覆盖，回填多余土石方选择合适地点堆放，并采取措施进行防护</w:t>
            </w:r>
            <w:r>
              <w:rPr>
                <w:rFonts w:hint="eastAsia"/>
                <w:bCs/>
                <w:color w:val="auto"/>
                <w:sz w:val="24"/>
                <w:highlight w:val="none"/>
                <w:lang w:eastAsia="zh-CN"/>
              </w:rPr>
              <w:t>。</w:t>
            </w:r>
          </w:p>
          <w:p w14:paraId="2274E02C">
            <w:pPr>
              <w:keepNext w:val="0"/>
              <w:keepLines w:val="0"/>
              <w:pageBreakBefore w:val="0"/>
              <w:widowControl w:val="0"/>
              <w:kinsoku/>
              <w:wordWrap/>
              <w:overflowPunct/>
              <w:topLinePunct w:val="0"/>
              <w:autoSpaceDE/>
              <w:autoSpaceDN w:val="0"/>
              <w:bidi w:val="0"/>
              <w:adjustRightInd/>
              <w:spacing w:line="360" w:lineRule="auto"/>
              <w:ind w:firstLine="480" w:firstLineChars="200"/>
              <w:textAlignment w:val="auto"/>
              <w:rPr>
                <w:rFonts w:hint="default" w:ascii="Times New Roman" w:hAnsi="Times New Roman" w:cs="Times New Roman"/>
                <w:bCs/>
                <w:color w:val="auto"/>
                <w:sz w:val="24"/>
                <w:highlight w:val="none"/>
              </w:rPr>
            </w:pPr>
            <w:r>
              <w:rPr>
                <w:rFonts w:hint="eastAsia"/>
                <w:bCs/>
                <w:color w:val="auto"/>
                <w:sz w:val="24"/>
                <w:highlight w:val="none"/>
              </w:rPr>
              <w:t>②</w:t>
            </w:r>
            <w:r>
              <w:rPr>
                <w:rFonts w:hint="default" w:ascii="Times New Roman" w:hAnsi="Times New Roman" w:cs="Times New Roman"/>
                <w:bCs/>
                <w:color w:val="auto"/>
                <w:sz w:val="24"/>
                <w:highlight w:val="none"/>
              </w:rPr>
              <w:t>严格控制施工占地，合理安排施工工序和施工场地</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电缆线路工程临时占地</w:t>
            </w:r>
            <w:r>
              <w:rPr>
                <w:rFonts w:hint="default" w:ascii="Times New Roman" w:hAnsi="Times New Roman" w:cs="Times New Roman"/>
                <w:bCs/>
                <w:color w:val="auto"/>
                <w:sz w:val="24"/>
                <w:highlight w:val="none"/>
              </w:rPr>
              <w:t>优先利用</w:t>
            </w:r>
            <w:r>
              <w:rPr>
                <w:rFonts w:hint="eastAsia" w:ascii="Times New Roman" w:hAnsi="Times New Roman" w:cs="Times New Roman"/>
                <w:bCs/>
                <w:color w:val="auto"/>
                <w:sz w:val="24"/>
                <w:highlight w:val="none"/>
                <w:lang w:val="en-US" w:eastAsia="zh-CN"/>
              </w:rPr>
              <w:t>既有市政道路空地</w:t>
            </w:r>
            <w:r>
              <w:rPr>
                <w:rFonts w:hint="default" w:ascii="Times New Roman" w:hAnsi="Times New Roman" w:cs="Times New Roman"/>
                <w:bCs/>
                <w:color w:val="auto"/>
                <w:sz w:val="24"/>
                <w:highlight w:val="none"/>
              </w:rPr>
              <w:t>，减少植被破坏</w:t>
            </w:r>
            <w:r>
              <w:rPr>
                <w:rFonts w:hint="eastAsia"/>
                <w:bCs/>
                <w:color w:val="auto"/>
                <w:sz w:val="24"/>
                <w:highlight w:val="none"/>
              </w:rPr>
              <w:t>。</w:t>
            </w:r>
          </w:p>
          <w:p w14:paraId="78C8BE90">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（3）恢复与补偿措施</w:t>
            </w:r>
          </w:p>
          <w:p w14:paraId="48439E90">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施工结束后临时占地应及时进行清理、松土、覆盖表层土，除复耕外对于立地条件较好的临时占地区域植被恢复尽可能利用植被自然更新，对确需进入人工播撒草籽进行植被恢复的区域，选择当地的乡土植物进行植被恢复，严禁引入外来物种。</w:t>
            </w:r>
          </w:p>
          <w:p w14:paraId="6526C4B7">
            <w:pPr>
              <w:autoSpaceDN w:val="0"/>
              <w:spacing w:line="336"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（4）管理措施</w:t>
            </w:r>
          </w:p>
          <w:p w14:paraId="1B55887C">
            <w:pPr>
              <w:autoSpaceDN w:val="0"/>
              <w:spacing w:line="336"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①在施工过程中，如发现受保护的野生动植物，要及时报告当地林业部门。</w:t>
            </w:r>
          </w:p>
          <w:p w14:paraId="3B61B505">
            <w:pPr>
              <w:autoSpaceDN w:val="0"/>
              <w:spacing w:line="336"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②施工前，施工单位应做好施工期环境管理与教育培训、印发环境保护手册，组织专业人员对施工人员进行环保宣传教育，施工期严格施工红线，严格行为规范，进行必要的管理监督。</w:t>
            </w:r>
          </w:p>
          <w:p w14:paraId="2E6A4E98">
            <w:pPr>
              <w:autoSpaceDN w:val="0"/>
              <w:spacing w:line="336"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③在施工设计文件中应说明施工期需注意的环保问题，如对沿线树木砍伐，野生动植物保护、植被恢复等情况均应按设计文件执行；严格要求施工单位按环保设计要求施工。</w:t>
            </w:r>
          </w:p>
          <w:p w14:paraId="3F55E586">
            <w:pPr>
              <w:autoSpaceDN w:val="0"/>
              <w:spacing w:line="336"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④在人员活动较多和较集中的区域，如生产区域、项目部附近，粘贴和设置环境保护方面的警示牌，提醒人们依法保护自然环境。</w:t>
            </w:r>
          </w:p>
          <w:p w14:paraId="5A8DD03C">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通过采取以上生态保护措施，可最大限度</w:t>
            </w:r>
            <w:r>
              <w:rPr>
                <w:rFonts w:hint="default" w:ascii="Times New Roman" w:hAnsi="Times New Roman" w:cs="Times New Roman"/>
                <w:bCs/>
                <w:color w:val="auto"/>
                <w:sz w:val="24"/>
                <w:highlight w:val="none"/>
                <w:lang w:eastAsia="zh-CN"/>
              </w:rPr>
              <w:t>地</w:t>
            </w:r>
            <w:r>
              <w:rPr>
                <w:rFonts w:hint="default" w:ascii="Times New Roman" w:hAnsi="Times New Roman" w:cs="Times New Roman"/>
                <w:bCs/>
                <w:color w:val="auto"/>
                <w:sz w:val="24"/>
                <w:highlight w:val="none"/>
              </w:rPr>
              <w:t>保护好项目区域的生态环境。</w:t>
            </w:r>
          </w:p>
          <w:p w14:paraId="0D7A7773">
            <w:pPr>
              <w:tabs>
                <w:tab w:val="left" w:pos="0"/>
              </w:tabs>
              <w:snapToGrid w:val="0"/>
              <w:spacing w:before="60"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2.声环境保护措施</w:t>
            </w:r>
          </w:p>
          <w:p w14:paraId="4936BEBA">
            <w:pPr>
              <w:autoSpaceDN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（1）施工单位按照规定制定噪声污染防治实施方案，采取合理安排施工时间、使用低噪声施工设备等噪声防治措施，减少振动，降低噪声，建设单位应当监督施工单位落实噪声污染防治实施方案。</w:t>
            </w:r>
          </w:p>
          <w:p w14:paraId="543FC5DA">
            <w:pPr>
              <w:autoSpaceDN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（2）施工点分散，每个点施工量小，施工期短，且集中在昼间进行，不影响沿线居民正常休息。</w:t>
            </w:r>
          </w:p>
          <w:p w14:paraId="2D9625B2">
            <w:pPr>
              <w:autoSpaceDN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（3）在设备选型时选取《低噪声施工设备指导名录（2024年版）》中所列低噪声设备，同时加强施工机械和运输车辆的保养，减小机械故障产生的噪声。</w:t>
            </w:r>
          </w:p>
          <w:p w14:paraId="7430EDE9">
            <w:pPr>
              <w:autoSpaceDN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（4）在噪声敏感建筑物集中区域依法禁止夜间（22</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00~6</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00）施工，施工均应安排在昼间进行。如因生产工艺要求或者其他特殊需要必须连续施工作业的，需在夜间施工而产生环境噪声污染时，应按《中华人民共和国环境噪声污染防治法》的规定，取得地方人民政府住房与城乡建设、生态环境主管部门或者地方人民政府指定部门的证明，并在施工现场显著位置公示或者以其他方式公告附近居民。</w:t>
            </w:r>
          </w:p>
          <w:p w14:paraId="28CA049B">
            <w:pPr>
              <w:autoSpaceDN w:val="0"/>
              <w:spacing w:line="360" w:lineRule="auto"/>
              <w:ind w:firstLine="480" w:firstLineChars="200"/>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w:t>
            </w:r>
            <w:r>
              <w:rPr>
                <w:rFonts w:hint="eastAsia" w:cs="Times New Roman"/>
                <w:color w:val="auto"/>
                <w:sz w:val="24"/>
                <w:highlight w:val="none"/>
                <w:lang w:val="en-US" w:eastAsia="zh-CN"/>
              </w:rPr>
              <w:t>5</w:t>
            </w:r>
            <w:r>
              <w:rPr>
                <w:rFonts w:hint="eastAsia" w:cs="Times New Roman"/>
                <w:color w:val="auto"/>
                <w:sz w:val="24"/>
                <w:highlight w:val="none"/>
                <w:lang w:eastAsia="zh-CN"/>
              </w:rPr>
              <w:t>）</w:t>
            </w:r>
            <w:r>
              <w:rPr>
                <w:rFonts w:hint="eastAsia" w:cs="Times New Roman"/>
                <w:color w:val="auto"/>
                <w:sz w:val="24"/>
                <w:highlight w:val="none"/>
                <w:lang w:val="en-US" w:eastAsia="zh-CN"/>
              </w:rPr>
              <w:t>电缆线路施工时</w:t>
            </w:r>
            <w:r>
              <w:rPr>
                <w:rFonts w:hint="eastAsia" w:cs="Times New Roman"/>
                <w:color w:val="auto"/>
                <w:sz w:val="24"/>
                <w:highlight w:val="none"/>
                <w:lang w:eastAsia="zh-CN"/>
              </w:rPr>
              <w:t>合理安排施工区域，合理布置施工场地，</w:t>
            </w:r>
            <w:r>
              <w:rPr>
                <w:rFonts w:hint="default" w:ascii="Times New Roman" w:hAnsi="Times New Roman" w:cs="Times New Roman"/>
                <w:color w:val="auto"/>
                <w:sz w:val="24"/>
                <w:highlight w:val="none"/>
              </w:rPr>
              <w:t>施工场地应采取围挡，减小施工噪声对周边声环境的影响</w:t>
            </w:r>
            <w:r>
              <w:rPr>
                <w:rFonts w:hint="eastAsia" w:cs="Times New Roman"/>
                <w:color w:val="auto"/>
                <w:sz w:val="24"/>
                <w:highlight w:val="none"/>
                <w:lang w:eastAsia="zh-CN"/>
              </w:rPr>
              <w:t>。</w:t>
            </w:r>
          </w:p>
          <w:p w14:paraId="656702A1">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在采取依法限制产生噪声的夜间作业等噪声污染控制措施后，本项目在施工期的噪声对周边声环境的影响能满足法规和标准的要求，并且施工结束后施工噪声影响即可消失。</w:t>
            </w:r>
          </w:p>
          <w:p w14:paraId="3BDCC02B">
            <w:pPr>
              <w:tabs>
                <w:tab w:val="left" w:pos="0"/>
              </w:tabs>
              <w:snapToGrid w:val="0"/>
              <w:spacing w:before="60"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3.施工扬尘防治措施</w:t>
            </w:r>
          </w:p>
          <w:p w14:paraId="672BCC80">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为了尽量降低施工扬尘影响，在施工期间，建设单位和施工单位应严格落实管控要求，加强施工工地扬尘管控，落实围挡、喷淋、物料苫盖等要求，本项目施工过程中应采取下述措施：</w:t>
            </w:r>
          </w:p>
          <w:p w14:paraId="06CFE01C">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（1）位于居民点</w:t>
            </w:r>
            <w:r>
              <w:rPr>
                <w:rFonts w:hint="default" w:ascii="Times New Roman" w:hAnsi="Times New Roman" w:cs="Times New Roman"/>
                <w:bCs/>
                <w:color w:val="auto"/>
                <w:sz w:val="24"/>
                <w:highlight w:val="none"/>
                <w:lang w:val="en-US" w:eastAsia="zh-CN"/>
              </w:rPr>
              <w:t>附近</w:t>
            </w:r>
            <w:r>
              <w:rPr>
                <w:rFonts w:hint="default" w:ascii="Times New Roman" w:hAnsi="Times New Roman" w:cs="Times New Roman"/>
                <w:bCs/>
                <w:color w:val="auto"/>
                <w:sz w:val="24"/>
                <w:highlight w:val="none"/>
              </w:rPr>
              <w:t>施工工地周围设置硬质、连续的密闭围挡，不具备条件设置的，应当采取其他有效的防尘措施；</w:t>
            </w:r>
          </w:p>
          <w:p w14:paraId="027F4D1C">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（2）对施工现场的车辆出入口、场内主要道路和物料堆放场地进行硬化，并辅以喷淋、</w:t>
            </w:r>
            <w:r>
              <w:rPr>
                <w:rFonts w:hint="default" w:ascii="Times New Roman" w:hAnsi="Times New Roman" w:cs="Times New Roman"/>
                <w:bCs/>
                <w:color w:val="auto"/>
                <w:sz w:val="24"/>
                <w:highlight w:val="none"/>
                <w:lang w:eastAsia="zh-CN"/>
              </w:rPr>
              <w:t>洒水</w:t>
            </w:r>
            <w:r>
              <w:rPr>
                <w:rFonts w:hint="default" w:ascii="Times New Roman" w:hAnsi="Times New Roman" w:cs="Times New Roman"/>
                <w:bCs/>
                <w:color w:val="auto"/>
                <w:sz w:val="24"/>
                <w:highlight w:val="none"/>
              </w:rPr>
              <w:t>、冲洗等抑尘措施对其他裸露场地进行覆盖或者临时绿化；</w:t>
            </w:r>
          </w:p>
          <w:p w14:paraId="7EF0E05D">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（3）实施土石方、基础施工、材料切割等易产生扬尘的作业时，采取持续加压喷淋或者其他措施抑制扬尘产生；</w:t>
            </w:r>
          </w:p>
          <w:p w14:paraId="6E391509">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（4）水泥和其他易飞扬的细颗粒建筑材料密闭存放或者采取覆盖等措施；</w:t>
            </w:r>
          </w:p>
          <w:p w14:paraId="047D7A45">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（5）</w:t>
            </w:r>
            <w:r>
              <w:rPr>
                <w:rFonts w:hint="default" w:ascii="Times New Roman" w:hAnsi="Times New Roman" w:cs="Times New Roman"/>
                <w:bCs/>
                <w:color w:val="auto"/>
                <w:sz w:val="24"/>
                <w:highlight w:val="none"/>
                <w:lang w:val="en-US" w:eastAsia="zh-CN"/>
              </w:rPr>
              <w:t>施工现场</w:t>
            </w:r>
            <w:r>
              <w:rPr>
                <w:rFonts w:hint="default" w:ascii="Times New Roman" w:hAnsi="Times New Roman" w:cs="Times New Roman"/>
                <w:bCs/>
                <w:color w:val="auto"/>
                <w:sz w:val="24"/>
                <w:highlight w:val="none"/>
              </w:rPr>
              <w:t>当采取</w:t>
            </w:r>
            <w:r>
              <w:rPr>
                <w:rFonts w:hint="default" w:ascii="Times New Roman" w:hAnsi="Times New Roman" w:cs="Times New Roman"/>
                <w:bCs/>
                <w:color w:val="auto"/>
                <w:sz w:val="24"/>
                <w:highlight w:val="none"/>
                <w:lang w:eastAsia="zh-CN"/>
              </w:rPr>
              <w:t>洒水</w:t>
            </w:r>
            <w:r>
              <w:rPr>
                <w:rFonts w:hint="default" w:ascii="Times New Roman" w:hAnsi="Times New Roman" w:cs="Times New Roman"/>
                <w:bCs/>
                <w:color w:val="auto"/>
                <w:sz w:val="24"/>
                <w:highlight w:val="none"/>
              </w:rPr>
              <w:t>等抑尘措施，位于已建道路基础开挖等损坏路面应当及时覆盖或者修复；</w:t>
            </w:r>
          </w:p>
          <w:p w14:paraId="000B0699">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（6）施工过程中，应当加强对施工现场和物料运输的管理，在施工工地先行设置围挡、喷淋设施，保持道路清洁，管控料堆和渣土堆放，防治扬尘对线路塔基周边的环境保护目标造成影响；</w:t>
            </w:r>
          </w:p>
          <w:p w14:paraId="62AD1A2F">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（7）施工过程中，施工材料、等运输车辆应进行封闭，防止遗撒，严禁车辆超载超速，装载物料的高度不得超过车辆</w:t>
            </w:r>
            <w:r>
              <w:rPr>
                <w:rFonts w:hint="default" w:ascii="Times New Roman" w:hAnsi="Times New Roman" w:cs="Times New Roman"/>
                <w:bCs/>
                <w:color w:val="auto"/>
                <w:sz w:val="24"/>
                <w:highlight w:val="none"/>
                <w:lang w:eastAsia="zh-CN"/>
              </w:rPr>
              <w:t>挡板</w:t>
            </w:r>
            <w:r>
              <w:rPr>
                <w:rFonts w:hint="default" w:ascii="Times New Roman" w:hAnsi="Times New Roman" w:cs="Times New Roman"/>
                <w:bCs/>
                <w:color w:val="auto"/>
                <w:sz w:val="24"/>
                <w:highlight w:val="none"/>
              </w:rPr>
              <w:t>；对于线路沿线裸露施工面对施工区域、道路进行洒水、清扫，遇到干旱和大风天气时增加洒水降尘次数；</w:t>
            </w:r>
          </w:p>
          <w:p w14:paraId="1582809B">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（8）施工现场临时堆放的裸土及其他易起尘物料应使用防尘网进行覆盖；暂时不能开工的建设用地超过三个月的，应当进行绿化、铺装或者遮盖；</w:t>
            </w:r>
          </w:p>
          <w:p w14:paraId="0C1E1F95">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（9）施工现场禁止将包装物、可燃垃圾等固体废弃物就地焚烧；</w:t>
            </w:r>
          </w:p>
          <w:p w14:paraId="1E0ED48F">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（10）线路施工结束后及时清理场地，并进行植被恢复，避免造成二次扬尘；</w:t>
            </w:r>
          </w:p>
          <w:p w14:paraId="1A8D174A">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11）建设单位应在施工合同中确定扬尘污染防治目标及施工单位扬尘污染防治责任，施工作业人员上岗前，施工单位应组织以国家法律法规、技术规范、管理制度和操作规程为主要内容的扬尘防治入场教育培训和考核等。施工过程中，施工单位应落实施工环境管理责任人，加强施工扬尘防治，积极配合上级生态环境主管部门的监管工作。</w:t>
            </w:r>
          </w:p>
          <w:p w14:paraId="792BD4FB">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本项目施工期较短且施工地点分散，经采取以上措施后，项目施工期对大气环境的影响较小。</w:t>
            </w:r>
          </w:p>
          <w:p w14:paraId="249BAA98">
            <w:pPr>
              <w:tabs>
                <w:tab w:val="left" w:pos="0"/>
              </w:tabs>
              <w:snapToGrid w:val="0"/>
              <w:spacing w:before="60"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4.固体废物处置措施</w:t>
            </w:r>
          </w:p>
          <w:p w14:paraId="157CDB5D">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（1）线路施工人员租住周边民房，产生的生活垃圾可纳入当地生活垃圾收集处理系统。</w:t>
            </w:r>
          </w:p>
          <w:p w14:paraId="401CF995">
            <w:pPr>
              <w:autoSpaceDN w:val="0"/>
              <w:spacing w:line="360" w:lineRule="auto"/>
              <w:ind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rPr>
              <w:t>（2）施工过程中产生的施工废物料应分类集中堆放，尽可能回收利用，不能回收利用的及时清运交由相关部门进行处理。建筑垃圾产生、收集、贮存、运输、利用、处置环节的污染控制工作</w:t>
            </w:r>
            <w:r>
              <w:rPr>
                <w:rFonts w:hint="eastAsia" w:cs="Times New Roman"/>
                <w:bCs/>
                <w:color w:val="auto"/>
                <w:sz w:val="24"/>
                <w:highlight w:val="none"/>
                <w:lang w:val="en-US" w:eastAsia="zh-CN"/>
              </w:rPr>
              <w:t>按照《建筑垃圾污染控制技术规范》（HJ 1462-2026）执行。</w:t>
            </w:r>
          </w:p>
          <w:p w14:paraId="752D1C6C">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w:t>
            </w:r>
            <w:r>
              <w:rPr>
                <w:rFonts w:hint="default" w:ascii="Times New Roman" w:hAnsi="Times New Roman" w:cs="Times New Roman"/>
                <w:color w:val="auto"/>
                <w:sz w:val="24"/>
                <w:highlight w:val="none"/>
              </w:rPr>
              <w:t>基础开挖产生的余土分别在</w:t>
            </w:r>
            <w:r>
              <w:rPr>
                <w:rFonts w:hint="eastAsia" w:cs="Times New Roman"/>
                <w:color w:val="auto"/>
                <w:sz w:val="24"/>
                <w:highlight w:val="none"/>
                <w:lang w:val="en-US" w:eastAsia="zh-CN"/>
              </w:rPr>
              <w:t>电缆沟、</w:t>
            </w:r>
            <w:r>
              <w:rPr>
                <w:rFonts w:hint="default" w:ascii="Times New Roman" w:hAnsi="Times New Roman" w:cs="Times New Roman"/>
                <w:color w:val="auto"/>
                <w:sz w:val="24"/>
                <w:highlight w:val="none"/>
              </w:rPr>
              <w:t>塔基占地范围内就地回填压实、综合利用；</w:t>
            </w:r>
            <w:r>
              <w:rPr>
                <w:rFonts w:hint="default" w:ascii="Times New Roman" w:hAnsi="Times New Roman" w:cs="Times New Roman"/>
                <w:bCs/>
                <w:color w:val="auto"/>
                <w:sz w:val="24"/>
                <w:highlight w:val="none"/>
              </w:rPr>
              <w:t>施工剥离表土按规范要求集中堆放，施工完毕后用于复垦或植被恢复。</w:t>
            </w:r>
          </w:p>
          <w:p w14:paraId="7CC2BE41">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在采取以上环保措施后，本项目施工期产生的固体废物对周边环境的影响较小。</w:t>
            </w:r>
          </w:p>
          <w:p w14:paraId="5609C40A">
            <w:pPr>
              <w:tabs>
                <w:tab w:val="left" w:pos="0"/>
              </w:tabs>
              <w:snapToGrid w:val="0"/>
              <w:spacing w:before="60"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5.地表水环境保护措施</w:t>
            </w:r>
          </w:p>
          <w:p w14:paraId="63E4F0BE">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lang w:val="en-US" w:eastAsia="zh-CN"/>
              </w:rPr>
              <w:t>1</w:t>
            </w: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落实文明施工原则，施工单位要做好施工场地周围的拦挡措施，尽量避免雨天开挖作业。新建变电站在施工场地修建临时沉砂池，施工废水经收集、沉砂、澄清处理后回用，不外排。</w:t>
            </w:r>
          </w:p>
          <w:p w14:paraId="50824D27">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lang w:val="en-US" w:eastAsia="zh-CN"/>
              </w:rPr>
              <w:t>2</w:t>
            </w: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线路施工人员租住周边</w:t>
            </w:r>
            <w:r>
              <w:rPr>
                <w:rFonts w:hint="eastAsia" w:cs="Times New Roman"/>
                <w:bCs/>
                <w:color w:val="auto"/>
                <w:sz w:val="24"/>
                <w:highlight w:val="none"/>
                <w:lang w:val="en-US" w:eastAsia="zh-CN"/>
              </w:rPr>
              <w:t>居民区</w:t>
            </w:r>
            <w:r>
              <w:rPr>
                <w:rFonts w:hint="default" w:ascii="Times New Roman" w:hAnsi="Times New Roman" w:cs="Times New Roman"/>
                <w:bCs/>
                <w:color w:val="auto"/>
                <w:sz w:val="24"/>
                <w:highlight w:val="none"/>
              </w:rPr>
              <w:t>，生活污水依托</w:t>
            </w:r>
            <w:r>
              <w:rPr>
                <w:rFonts w:hint="eastAsia" w:cs="Times New Roman"/>
                <w:bCs/>
                <w:color w:val="auto"/>
                <w:sz w:val="24"/>
                <w:highlight w:val="none"/>
                <w:lang w:val="en-US" w:eastAsia="zh-CN"/>
              </w:rPr>
              <w:t>居民区</w:t>
            </w:r>
            <w:r>
              <w:rPr>
                <w:rFonts w:hint="default" w:ascii="Times New Roman" w:hAnsi="Times New Roman" w:cs="Times New Roman"/>
                <w:bCs/>
                <w:color w:val="auto"/>
                <w:sz w:val="24"/>
                <w:highlight w:val="none"/>
              </w:rPr>
              <w:t>现有设施处理。</w:t>
            </w:r>
          </w:p>
          <w:p w14:paraId="1E4842A4">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lang w:val="en-US" w:eastAsia="zh-CN"/>
              </w:rPr>
              <w:t>3</w:t>
            </w: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禁止向水域排放油类，禁止在水域区域冲洗贮油类车辆，禁止向水域内排放、倾倒废水、垃圾等。</w:t>
            </w:r>
          </w:p>
          <w:p w14:paraId="151D35FD">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lang w:val="en-US" w:eastAsia="zh-CN"/>
              </w:rPr>
              <w:t>4</w:t>
            </w: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施工人员不得在靠近水域附近搭建临时施工生活设施，严禁施工废水、生活污水、生活垃圾等排入水域，影响水体水质，施工场地尽可能远离河流。</w:t>
            </w:r>
          </w:p>
          <w:p w14:paraId="02694DF4">
            <w:pPr>
              <w:keepNext w:val="0"/>
              <w:keepLines w:val="0"/>
              <w:pageBreakBefore w:val="0"/>
              <w:widowControl w:val="0"/>
              <w:kinsoku/>
              <w:wordWrap/>
              <w:overflowPunct/>
              <w:topLinePunct w:val="0"/>
              <w:autoSpaceDE/>
              <w:autoSpaceDN w:val="0"/>
              <w:bidi w:val="0"/>
              <w:spacing w:line="360" w:lineRule="auto"/>
              <w:ind w:firstLine="480" w:firstLineChars="200"/>
              <w:textAlignment w:val="auto"/>
              <w:rPr>
                <w:rFonts w:hint="eastAsia" w:ascii="Times New Roman" w:hAnsi="宋体" w:eastAsia="宋体" w:cs="Times New Roman"/>
                <w:bCs/>
                <w:color w:val="auto"/>
                <w:sz w:val="24"/>
                <w:highlight w:val="none"/>
                <w:lang w:eastAsia="zh-CN"/>
              </w:rPr>
            </w:pPr>
            <w:r>
              <w:rPr>
                <w:rFonts w:hint="eastAsia" w:ascii="Times New Roman" w:hAnsi="宋体" w:eastAsia="宋体" w:cs="Times New Roman"/>
                <w:bCs/>
                <w:color w:val="auto"/>
                <w:sz w:val="24"/>
                <w:highlight w:val="none"/>
              </w:rPr>
              <w:t>（</w:t>
            </w:r>
            <w:r>
              <w:rPr>
                <w:rFonts w:hint="eastAsia" w:hAnsi="宋体" w:cs="Times New Roman"/>
                <w:bCs/>
                <w:color w:val="auto"/>
                <w:sz w:val="24"/>
                <w:highlight w:val="none"/>
                <w:lang w:val="en-US" w:eastAsia="zh-CN"/>
              </w:rPr>
              <w:t>5</w:t>
            </w:r>
            <w:r>
              <w:rPr>
                <w:rFonts w:hint="eastAsia" w:ascii="Times New Roman" w:hAnsi="宋体" w:eastAsia="宋体" w:cs="Times New Roman"/>
                <w:bCs/>
                <w:color w:val="auto"/>
                <w:sz w:val="24"/>
                <w:highlight w:val="none"/>
              </w:rPr>
              <w:t>）落实文明施工原则，避免雨天开挖作业</w:t>
            </w:r>
            <w:r>
              <w:rPr>
                <w:rFonts w:hint="eastAsia" w:ascii="Times New Roman" w:hAnsi="宋体" w:eastAsia="宋体" w:cs="Times New Roman"/>
                <w:bCs/>
                <w:color w:val="auto"/>
                <w:sz w:val="24"/>
                <w:highlight w:val="none"/>
                <w:lang w:eastAsia="zh-CN"/>
              </w:rPr>
              <w:t>；</w:t>
            </w:r>
          </w:p>
          <w:p w14:paraId="40591230">
            <w:pPr>
              <w:keepNext w:val="0"/>
              <w:keepLines w:val="0"/>
              <w:pageBreakBefore w:val="0"/>
              <w:widowControl w:val="0"/>
              <w:kinsoku/>
              <w:wordWrap/>
              <w:overflowPunct/>
              <w:topLinePunct w:val="0"/>
              <w:autoSpaceDE/>
              <w:autoSpaceDN w:val="0"/>
              <w:bidi w:val="0"/>
              <w:spacing w:line="360" w:lineRule="auto"/>
              <w:ind w:firstLine="480" w:firstLineChars="200"/>
              <w:textAlignment w:val="auto"/>
              <w:rPr>
                <w:rFonts w:hint="default" w:ascii="Times New Roman" w:hAnsi="Times New Roman" w:cs="Times New Roman"/>
                <w:bCs/>
                <w:color w:val="auto"/>
                <w:sz w:val="24"/>
                <w:highlight w:val="none"/>
              </w:rPr>
            </w:pPr>
            <w:r>
              <w:rPr>
                <w:rFonts w:hint="eastAsia" w:ascii="Times New Roman" w:hAnsi="宋体" w:eastAsia="宋体" w:cs="Times New Roman"/>
                <w:bCs/>
                <w:color w:val="auto"/>
                <w:sz w:val="24"/>
                <w:highlight w:val="none"/>
                <w:lang w:eastAsia="zh-CN"/>
              </w:rPr>
              <w:t>（</w:t>
            </w:r>
            <w:r>
              <w:rPr>
                <w:rFonts w:hint="eastAsia" w:hAnsi="宋体" w:cs="Times New Roman"/>
                <w:bCs/>
                <w:color w:val="auto"/>
                <w:sz w:val="24"/>
                <w:highlight w:val="none"/>
                <w:lang w:val="en-US" w:eastAsia="zh-CN"/>
              </w:rPr>
              <w:t>6</w:t>
            </w:r>
            <w:r>
              <w:rPr>
                <w:rFonts w:hint="eastAsia" w:ascii="Times New Roman" w:hAnsi="宋体" w:eastAsia="宋体" w:cs="Times New Roman"/>
                <w:bCs/>
                <w:color w:val="auto"/>
                <w:sz w:val="24"/>
                <w:highlight w:val="none"/>
                <w:lang w:val="en-US" w:eastAsia="zh-CN"/>
              </w:rPr>
              <w:t>）采用商品砼，不在现场搅拌。</w:t>
            </w:r>
          </w:p>
          <w:p w14:paraId="406D040B">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在采取以上环保措施后，本项目施工期对周边</w:t>
            </w:r>
            <w:r>
              <w:rPr>
                <w:rFonts w:hint="default" w:ascii="Times New Roman" w:hAnsi="Times New Roman" w:cs="Times New Roman"/>
                <w:bCs/>
                <w:color w:val="auto"/>
                <w:sz w:val="24"/>
                <w:highlight w:val="none"/>
                <w:lang w:val="en-US" w:eastAsia="zh-CN"/>
              </w:rPr>
              <w:t>地表水</w:t>
            </w:r>
            <w:r>
              <w:rPr>
                <w:rFonts w:hint="default" w:ascii="Times New Roman" w:hAnsi="Times New Roman" w:cs="Times New Roman"/>
                <w:bCs/>
                <w:color w:val="auto"/>
                <w:sz w:val="24"/>
                <w:highlight w:val="none"/>
              </w:rPr>
              <w:t>环境的影响较小。</w:t>
            </w:r>
          </w:p>
          <w:p w14:paraId="250343A1">
            <w:pPr>
              <w:tabs>
                <w:tab w:val="left" w:pos="0"/>
              </w:tabs>
              <w:snapToGrid w:val="0"/>
              <w:spacing w:before="60" w:line="360" w:lineRule="auto"/>
              <w:rPr>
                <w:rFonts w:hint="default" w:ascii="Times New Roman" w:hAnsi="Times New Roman" w:cs="Times New Roman"/>
                <w:b/>
                <w:color w:val="auto"/>
                <w:sz w:val="24"/>
                <w:highlight w:val="none"/>
              </w:rPr>
            </w:pPr>
            <w:r>
              <w:rPr>
                <w:b/>
                <w:color w:val="auto"/>
                <w:sz w:val="24"/>
                <w:highlight w:val="none"/>
              </w:rPr>
              <w:t>6</w:t>
            </w:r>
            <w:r>
              <w:rPr>
                <w:rFonts w:hint="eastAsia"/>
                <w:b/>
                <w:color w:val="auto"/>
                <w:sz w:val="24"/>
                <w:highlight w:val="none"/>
              </w:rPr>
              <w:t>.</w:t>
            </w:r>
            <w:r>
              <w:rPr>
                <w:rFonts w:hint="default" w:ascii="Times New Roman" w:hAnsi="Times New Roman" w:cs="Times New Roman"/>
                <w:b/>
                <w:color w:val="auto"/>
                <w:sz w:val="24"/>
                <w:highlight w:val="none"/>
              </w:rPr>
              <w:t>措施的责任主体及实施效果</w:t>
            </w:r>
          </w:p>
          <w:p w14:paraId="39ECF2CF">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本项目施工期采取的生态环境保护措施和大气、地表水、电磁、噪声、固废污染防治措施的责任主体为施工单位</w:t>
            </w: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建设单位具体负责监督，确保措施有效落实；经分析，以上措施具有技术可行性、经济合理性、运行稳定性、生态保护的可达性，在认真落实各项污染防治措施后，本项目施工期对生态、大气、地表水、声环境影响较小，固体废弃物能妥善处理，对周围环境影响较小。</w:t>
            </w:r>
          </w:p>
        </w:tc>
      </w:tr>
      <w:tr w14:paraId="007B7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 w:type="pct"/>
            <w:tcMar>
              <w:left w:w="28" w:type="dxa"/>
              <w:right w:w="28" w:type="dxa"/>
            </w:tcMar>
            <w:vAlign w:val="center"/>
          </w:tcPr>
          <w:p w14:paraId="727C30F1">
            <w:pPr>
              <w:adjustRightInd w:val="0"/>
              <w:snapToGrid w:val="0"/>
              <w:jc w:val="center"/>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运营期生态环境保护措施</w:t>
            </w:r>
          </w:p>
        </w:tc>
        <w:tc>
          <w:tcPr>
            <w:tcW w:w="4768" w:type="pct"/>
          </w:tcPr>
          <w:p w14:paraId="216E9240">
            <w:pPr>
              <w:tabs>
                <w:tab w:val="left" w:pos="0"/>
              </w:tabs>
              <w:snapToGrid w:val="0"/>
              <w:spacing w:before="60"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1.生态保护措施</w:t>
            </w:r>
          </w:p>
          <w:p w14:paraId="29ED6F1A">
            <w:pPr>
              <w:autoSpaceDN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（1）强化对设备检修维护人员的生态保护意识教育，加强管理，禁止滥采滥伐和捕猎野生动物，避免因此导致的沿线自然植被破坏和野生动物的影响；</w:t>
            </w:r>
          </w:p>
          <w:p w14:paraId="14CC07B9">
            <w:pPr>
              <w:autoSpaceDN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（2）定期对线路沿线生态保护和防护措施及设施进行检查，跟踪生态保护与恢复效果，以便及时采取后续措施。</w:t>
            </w:r>
          </w:p>
          <w:p w14:paraId="5553FC44">
            <w:pPr>
              <w:tabs>
                <w:tab w:val="left" w:pos="0"/>
              </w:tabs>
              <w:snapToGrid w:val="0"/>
              <w:spacing w:before="60" w:line="360" w:lineRule="auto"/>
              <w:rPr>
                <w:rFonts w:hint="default" w:ascii="Times New Roman" w:hAnsi="Times New Roman" w:cs="Times New Roman"/>
                <w:b/>
                <w:color w:val="auto"/>
                <w:sz w:val="24"/>
                <w:highlight w:val="none"/>
              </w:rPr>
            </w:pPr>
            <w:r>
              <w:rPr>
                <w:rFonts w:hint="eastAsia" w:cs="Times New Roman"/>
                <w:b/>
                <w:color w:val="auto"/>
                <w:sz w:val="24"/>
                <w:highlight w:val="none"/>
                <w:lang w:val="en-US" w:eastAsia="zh-CN"/>
              </w:rPr>
              <w:t>2</w:t>
            </w:r>
            <w:r>
              <w:rPr>
                <w:rFonts w:hint="default" w:ascii="Times New Roman" w:hAnsi="Times New Roman" w:cs="Times New Roman"/>
                <w:b/>
                <w:color w:val="auto"/>
                <w:sz w:val="24"/>
                <w:highlight w:val="none"/>
              </w:rPr>
              <w:t>.地表水环境保护措施</w:t>
            </w:r>
          </w:p>
          <w:p w14:paraId="22611A7F">
            <w:pPr>
              <w:autoSpaceDN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线路运维人员定期巡线过程中，应避免在</w:t>
            </w:r>
            <w:r>
              <w:rPr>
                <w:rFonts w:hint="default" w:ascii="Times New Roman" w:hAnsi="Times New Roman" w:cs="Times New Roman"/>
                <w:color w:val="auto"/>
                <w:sz w:val="24"/>
                <w:highlight w:val="none"/>
                <w:lang w:val="en-US" w:eastAsia="zh-CN"/>
              </w:rPr>
              <w:t>地表水体</w:t>
            </w:r>
            <w:r>
              <w:rPr>
                <w:rFonts w:hint="default" w:ascii="Times New Roman" w:hAnsi="Times New Roman" w:cs="Times New Roman"/>
                <w:color w:val="auto"/>
                <w:sz w:val="24"/>
                <w:highlight w:val="none"/>
              </w:rPr>
              <w:t>附近随意丢弃废弃物，防止对水质产生影响。</w:t>
            </w:r>
          </w:p>
          <w:p w14:paraId="02424F2F">
            <w:pPr>
              <w:autoSpaceDN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采取上述措施后，项目运营期对周边地表水环境不会产生影响。</w:t>
            </w:r>
          </w:p>
          <w:p w14:paraId="1D6B8907">
            <w:pPr>
              <w:tabs>
                <w:tab w:val="left" w:pos="0"/>
              </w:tabs>
              <w:snapToGrid w:val="0"/>
              <w:spacing w:before="60" w:line="360" w:lineRule="auto"/>
              <w:rPr>
                <w:rFonts w:hint="default" w:ascii="Times New Roman" w:hAnsi="Times New Roman" w:cs="Times New Roman"/>
                <w:b/>
                <w:color w:val="auto"/>
                <w:sz w:val="24"/>
                <w:highlight w:val="none"/>
              </w:rPr>
            </w:pPr>
            <w:r>
              <w:rPr>
                <w:rFonts w:hint="eastAsia" w:cs="Times New Roman"/>
                <w:b/>
                <w:color w:val="auto"/>
                <w:sz w:val="24"/>
                <w:highlight w:val="none"/>
                <w:lang w:val="en-US" w:eastAsia="zh-CN"/>
              </w:rPr>
              <w:t>3</w:t>
            </w:r>
            <w:r>
              <w:rPr>
                <w:rFonts w:hint="default" w:ascii="Times New Roman" w:hAnsi="Times New Roman" w:cs="Times New Roman"/>
                <w:b/>
                <w:color w:val="auto"/>
                <w:sz w:val="24"/>
                <w:highlight w:val="none"/>
              </w:rPr>
              <w:t>.电磁环境保护措施</w:t>
            </w:r>
          </w:p>
          <w:p w14:paraId="5D73A12F">
            <w:pPr>
              <w:autoSpaceDN w:val="0"/>
              <w:spacing w:line="360" w:lineRule="auto"/>
              <w:ind w:firstLine="480" w:firstLineChars="200"/>
              <w:rPr>
                <w:rFonts w:hint="default" w:ascii="Times New Roman" w:hAnsi="Times New Roman" w:eastAsia="宋体" w:cs="Times New Roman"/>
                <w:bCs/>
                <w:color w:val="auto"/>
                <w:sz w:val="24"/>
                <w:highlight w:val="none"/>
                <w:lang w:eastAsia="zh-CN"/>
              </w:rPr>
            </w:pPr>
            <w:r>
              <w:rPr>
                <w:rFonts w:hint="eastAsia" w:ascii="Times New Roman" w:hAnsi="Times New Roman" w:eastAsia="宋体" w:cs="Times New Roman"/>
                <w:bCs/>
                <w:color w:val="auto"/>
                <w:sz w:val="24"/>
                <w:highlight w:val="none"/>
                <w:lang w:eastAsia="zh-CN"/>
              </w:rPr>
              <w:t>定期对其电磁环境进行监测，确保项目周边电磁环境符合相应评价标准</w:t>
            </w:r>
            <w:r>
              <w:rPr>
                <w:rFonts w:hint="eastAsia" w:cs="Times New Roman"/>
                <w:bCs/>
                <w:color w:val="auto"/>
                <w:sz w:val="24"/>
                <w:highlight w:val="none"/>
                <w:lang w:eastAsia="zh-CN"/>
              </w:rPr>
              <w:t>。</w:t>
            </w:r>
          </w:p>
          <w:p w14:paraId="01FA189E">
            <w:pPr>
              <w:autoSpaceDN w:val="0"/>
              <w:spacing w:line="360" w:lineRule="auto"/>
              <w:ind w:firstLine="480" w:firstLineChars="200"/>
              <w:rPr>
                <w:rFonts w:hint="default" w:ascii="Times New Roman" w:hAnsi="Times New Roman" w:eastAsia="宋体" w:cs="Times New Roman"/>
                <w:bCs/>
                <w:color w:val="auto"/>
                <w:sz w:val="24"/>
                <w:highlight w:val="none"/>
                <w:lang w:eastAsia="zh-CN"/>
              </w:rPr>
            </w:pPr>
            <w:r>
              <w:rPr>
                <w:rFonts w:hint="default" w:ascii="Times New Roman" w:hAnsi="Times New Roman" w:eastAsia="宋体" w:cs="Times New Roman"/>
                <w:bCs/>
                <w:color w:val="auto"/>
                <w:sz w:val="24"/>
                <w:highlight w:val="none"/>
                <w:lang w:eastAsia="zh-CN"/>
              </w:rPr>
              <w:t>采取上述措施后，可以有效地减小电磁环境的影响。</w:t>
            </w:r>
          </w:p>
          <w:p w14:paraId="0BEC290B">
            <w:pPr>
              <w:tabs>
                <w:tab w:val="left" w:pos="0"/>
              </w:tabs>
              <w:snapToGrid w:val="0"/>
              <w:spacing w:before="60" w:line="360" w:lineRule="auto"/>
              <w:rPr>
                <w:rFonts w:hint="default" w:ascii="Times New Roman" w:hAnsi="Times New Roman" w:cs="Times New Roman"/>
                <w:b/>
                <w:color w:val="auto"/>
                <w:sz w:val="24"/>
                <w:highlight w:val="none"/>
              </w:rPr>
            </w:pPr>
            <w:r>
              <w:rPr>
                <w:rFonts w:hint="eastAsia" w:cs="Times New Roman"/>
                <w:b/>
                <w:color w:val="auto"/>
                <w:sz w:val="24"/>
                <w:highlight w:val="none"/>
                <w:lang w:val="en-US" w:eastAsia="zh-CN"/>
              </w:rPr>
              <w:t>4</w:t>
            </w:r>
            <w:r>
              <w:rPr>
                <w:rFonts w:hint="default" w:ascii="Times New Roman" w:hAnsi="Times New Roman" w:cs="Times New Roman"/>
                <w:b/>
                <w:color w:val="auto"/>
                <w:sz w:val="24"/>
                <w:highlight w:val="none"/>
              </w:rPr>
              <w:t>.措施的责任主体及实施效果</w:t>
            </w:r>
          </w:p>
          <w:p w14:paraId="5D5AD3C8">
            <w:pPr>
              <w:pStyle w:val="4"/>
              <w:adjustRightInd/>
              <w:spacing w:line="360" w:lineRule="auto"/>
              <w:ind w:firstLineChars="200"/>
              <w:outlineLvl w:val="2"/>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本项目运营期采取的生态环境保护措施和地表水、</w:t>
            </w:r>
            <w:r>
              <w:rPr>
                <w:rFonts w:hint="eastAsia" w:cs="Times New Roman"/>
                <w:color w:val="auto"/>
                <w:szCs w:val="24"/>
                <w:highlight w:val="none"/>
                <w:lang w:val="en-US" w:eastAsia="zh-CN"/>
              </w:rPr>
              <w:t>电磁环境保护</w:t>
            </w:r>
            <w:r>
              <w:rPr>
                <w:rFonts w:hint="default" w:ascii="Times New Roman" w:hAnsi="Times New Roman" w:cs="Times New Roman"/>
                <w:color w:val="auto"/>
                <w:szCs w:val="24"/>
                <w:highlight w:val="none"/>
              </w:rPr>
              <w:t>措施的责任主体为建设单位，建设单位应严格依照相关要求确保措施有效落实；经分析，以上措施具有技术可行性、经济合理性、运行稳定性、生态保护的可达性，在认真落实各项污染防治措施后，本项目运营期对生态、地表水环境影响较小，电磁环境影响能满足标准要求。</w:t>
            </w:r>
          </w:p>
        </w:tc>
      </w:tr>
      <w:tr w14:paraId="6EE08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231" w:type="pct"/>
            <w:vAlign w:val="center"/>
          </w:tcPr>
          <w:p w14:paraId="1B7DD3FC">
            <w:pPr>
              <w:adjustRightInd w:val="0"/>
              <w:snapToGrid w:val="0"/>
              <w:jc w:val="center"/>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其他</w:t>
            </w:r>
          </w:p>
        </w:tc>
        <w:tc>
          <w:tcPr>
            <w:tcW w:w="4768" w:type="pct"/>
          </w:tcPr>
          <w:p w14:paraId="453A28F7">
            <w:pPr>
              <w:tabs>
                <w:tab w:val="left" w:pos="0"/>
              </w:tabs>
              <w:snapToGrid w:val="0"/>
              <w:spacing w:before="120" w:line="360" w:lineRule="auto"/>
              <w:rPr>
                <w:rFonts w:hint="default" w:ascii="Times New Roman" w:hAnsi="Times New Roman" w:cs="Times New Roman"/>
                <w:b/>
                <w:color w:val="auto"/>
                <w:sz w:val="24"/>
                <w:highlight w:val="none"/>
              </w:rPr>
            </w:pPr>
            <w:bookmarkStart w:id="49" w:name="_Toc198366017"/>
            <w:bookmarkStart w:id="50" w:name="_Toc198366291"/>
            <w:bookmarkStart w:id="51" w:name="_Toc36293971"/>
            <w:bookmarkStart w:id="52" w:name="_Toc198368886"/>
            <w:bookmarkStart w:id="53" w:name="_Toc194202849"/>
            <w:bookmarkStart w:id="54" w:name="_Toc386301460"/>
            <w:r>
              <w:rPr>
                <w:rFonts w:hint="default" w:ascii="Times New Roman" w:hAnsi="Times New Roman" w:cs="Times New Roman"/>
                <w:b/>
                <w:color w:val="auto"/>
                <w:sz w:val="24"/>
                <w:highlight w:val="none"/>
              </w:rPr>
              <w:t>1.环境管理</w:t>
            </w:r>
            <w:bookmarkEnd w:id="49"/>
            <w:bookmarkEnd w:id="50"/>
            <w:bookmarkEnd w:id="51"/>
            <w:bookmarkEnd w:id="52"/>
            <w:bookmarkEnd w:id="53"/>
            <w:bookmarkEnd w:id="54"/>
          </w:p>
          <w:p w14:paraId="2A879391">
            <w:pPr>
              <w:tabs>
                <w:tab w:val="left" w:pos="0"/>
              </w:tabs>
              <w:snapToGrid w:val="0"/>
              <w:spacing w:before="20" w:after="20" w:line="360" w:lineRule="auto"/>
              <w:rPr>
                <w:rFonts w:hint="default" w:ascii="Times New Roman" w:hAnsi="Times New Roman" w:cs="Times New Roman"/>
                <w:b/>
                <w:color w:val="auto"/>
                <w:sz w:val="24"/>
                <w:highlight w:val="none"/>
              </w:rPr>
            </w:pPr>
            <w:bookmarkStart w:id="55" w:name="_Toc194202850"/>
            <w:bookmarkStart w:id="56" w:name="_Toc386301461"/>
            <w:bookmarkStart w:id="57" w:name="_Toc198368887"/>
            <w:bookmarkStart w:id="58" w:name="_Toc198366292"/>
            <w:bookmarkStart w:id="59" w:name="_Toc198366018"/>
            <w:r>
              <w:rPr>
                <w:rFonts w:hint="default" w:ascii="Times New Roman" w:hAnsi="Times New Roman" w:cs="Times New Roman"/>
                <w:b/>
                <w:color w:val="auto"/>
                <w:sz w:val="24"/>
                <w:highlight w:val="none"/>
              </w:rPr>
              <w:t>1.1环境管理机构</w:t>
            </w:r>
            <w:bookmarkEnd w:id="55"/>
            <w:bookmarkEnd w:id="56"/>
            <w:bookmarkEnd w:id="57"/>
            <w:bookmarkEnd w:id="58"/>
            <w:bookmarkEnd w:id="59"/>
          </w:p>
          <w:p w14:paraId="2E34F8F8">
            <w:pPr>
              <w:spacing w:line="360" w:lineRule="auto"/>
              <w:ind w:firstLine="424" w:firstLineChars="17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输变电工程一般不单独设立环境监测站。建设单位或运行单位在管理机构内配备必要的专职或兼职人员，负责环境保护管理工作。</w:t>
            </w:r>
          </w:p>
          <w:p w14:paraId="63425678">
            <w:pPr>
              <w:tabs>
                <w:tab w:val="left" w:pos="0"/>
              </w:tabs>
              <w:snapToGrid w:val="0"/>
              <w:spacing w:before="20" w:after="20" w:line="360" w:lineRule="auto"/>
              <w:rPr>
                <w:rFonts w:hint="default" w:ascii="Times New Roman" w:hAnsi="Times New Roman" w:cs="Times New Roman"/>
                <w:b/>
                <w:color w:val="auto"/>
                <w:sz w:val="24"/>
                <w:highlight w:val="none"/>
              </w:rPr>
            </w:pPr>
            <w:bookmarkStart w:id="60" w:name="_Toc386301462"/>
            <w:bookmarkStart w:id="61" w:name="_Toc198366293"/>
            <w:bookmarkStart w:id="62" w:name="_Toc198366019"/>
            <w:bookmarkStart w:id="63" w:name="_Toc194202851"/>
            <w:bookmarkStart w:id="64" w:name="_Toc198368888"/>
            <w:r>
              <w:rPr>
                <w:rFonts w:hint="default" w:ascii="Times New Roman" w:hAnsi="Times New Roman" w:cs="Times New Roman"/>
                <w:b/>
                <w:color w:val="auto"/>
                <w:sz w:val="24"/>
                <w:highlight w:val="none"/>
              </w:rPr>
              <w:t>1.2施工期环境管理</w:t>
            </w:r>
            <w:bookmarkEnd w:id="60"/>
            <w:bookmarkEnd w:id="61"/>
            <w:bookmarkEnd w:id="62"/>
            <w:bookmarkEnd w:id="63"/>
            <w:bookmarkEnd w:id="64"/>
          </w:p>
          <w:p w14:paraId="02FC2DBD">
            <w:pPr>
              <w:spacing w:line="360" w:lineRule="auto"/>
              <w:ind w:firstLine="424" w:firstLineChars="17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w:t>
            </w:r>
            <w:bookmarkStart w:id="92" w:name="_GoBack"/>
            <w:r>
              <w:rPr>
                <w:rFonts w:hint="default" w:ascii="Times New Roman" w:hAnsi="Times New Roman" w:cs="Times New Roman"/>
                <w:color w:val="auto"/>
                <w:sz w:val="24"/>
                <w:highlight w:val="none"/>
              </w:rPr>
              <w:t>据《中华人民共和国生态环境法典》</w:t>
            </w:r>
            <w:r>
              <w:rPr>
                <w:rFonts w:hint="default" w:ascii="Times New Roman" w:hAnsi="Times New Roman" w:cs="Times New Roman"/>
                <w:color w:val="auto"/>
                <w:sz w:val="24"/>
                <w:highlight w:val="none"/>
              </w:rPr>
              <w:t>和《建设项目环境保护管理条例》，建设单位必须把环境保护工作纳入计划</w:t>
            </w:r>
            <w:bookmarkEnd w:id="92"/>
            <w:r>
              <w:rPr>
                <w:rFonts w:hint="default" w:ascii="Times New Roman" w:hAnsi="Times New Roman" w:cs="Times New Roman"/>
                <w:color w:val="auto"/>
                <w:sz w:val="24"/>
                <w:highlight w:val="none"/>
              </w:rPr>
              <w:t>，建立环境保护责任制度，采取有效措施，防治环境破坏。</w:t>
            </w:r>
          </w:p>
          <w:p w14:paraId="1F734D9B">
            <w:pPr>
              <w:numPr>
                <w:ilvl w:val="0"/>
                <w:numId w:val="8"/>
              </w:numPr>
              <w:spacing w:line="360" w:lineRule="auto"/>
              <w:ind w:firstLine="424" w:firstLineChars="17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施工招标中应对投标单位提出施工期间的环保要求，如废污水处理、防尘降噪、固废处理、生态保护等情况均应按设计文件和环评要求执行。</w:t>
            </w:r>
            <w:bookmarkStart w:id="65" w:name="_Toc386301463"/>
          </w:p>
          <w:p w14:paraId="2574F1A7">
            <w:pPr>
              <w:numPr>
                <w:ilvl w:val="0"/>
                <w:numId w:val="8"/>
              </w:numPr>
              <w:spacing w:line="360" w:lineRule="auto"/>
              <w:ind w:firstLine="424" w:firstLineChars="17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建设单位施工合同应涵盖环境保护设施建设内容并配置相应资金情况。</w:t>
            </w:r>
          </w:p>
          <w:p w14:paraId="126762F2">
            <w:pPr>
              <w:numPr>
                <w:ilvl w:val="0"/>
                <w:numId w:val="8"/>
              </w:numPr>
              <w:spacing w:line="360" w:lineRule="auto"/>
              <w:ind w:firstLine="424" w:firstLineChars="17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监督施工单位，使设计、施工过程的各项环境保护措施与主体工程同步实施。</w:t>
            </w:r>
          </w:p>
          <w:p w14:paraId="234B9823">
            <w:pPr>
              <w:numPr>
                <w:ilvl w:val="0"/>
                <w:numId w:val="8"/>
              </w:numPr>
              <w:spacing w:line="360" w:lineRule="auto"/>
              <w:ind w:firstLine="424" w:firstLineChars="17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施工过程中要根据建设进度检查本工程实际建设规模、地点或者防治污染、防止生态破坏的措施与环评文件、批复文件或环境保护设施设计要求的一致性，发生变动的，建设单位应在变动前开展环境影响分析情况，重大变动的需及时重新报批环评文件。</w:t>
            </w:r>
          </w:p>
          <w:p w14:paraId="26182F5D">
            <w:pPr>
              <w:numPr>
                <w:ilvl w:val="0"/>
                <w:numId w:val="8"/>
              </w:numPr>
              <w:spacing w:line="360" w:lineRule="auto"/>
              <w:ind w:firstLine="424" w:firstLineChars="17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提高管理人员和施工人员的环保意识，要求各施工单位根据制定的环保培训和宣传计划，分批次、分阶段地对职工进行环保教育。</w:t>
            </w:r>
          </w:p>
          <w:p w14:paraId="08DDC28E">
            <w:pPr>
              <w:tabs>
                <w:tab w:val="left" w:pos="0"/>
              </w:tabs>
              <w:snapToGrid w:val="0"/>
              <w:spacing w:before="20" w:after="20"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1.3环境保护设施竣工验收</w:t>
            </w:r>
            <w:bookmarkEnd w:id="65"/>
          </w:p>
          <w:p w14:paraId="3E7D64CD">
            <w:pPr>
              <w:pStyle w:val="104"/>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根据《建设项目环境保护管理条例》，本项目的建设应执行污染治理设施与主体工程同时设计、同时施工、同时投产使用的</w:t>
            </w:r>
            <w:r>
              <w:rPr>
                <w:rFonts w:hint="eastAsia" w:ascii="Times New Roman" w:hAnsi="Times New Roman" w:cs="Times New Roman"/>
                <w:color w:val="auto"/>
                <w:szCs w:val="24"/>
                <w:highlight w:val="none"/>
                <w:lang w:eastAsia="zh-CN"/>
              </w:rPr>
              <w:t>“</w:t>
            </w:r>
            <w:r>
              <w:rPr>
                <w:rFonts w:hint="default" w:ascii="Times New Roman" w:hAnsi="Times New Roman" w:cs="Times New Roman"/>
                <w:color w:val="auto"/>
                <w:szCs w:val="24"/>
                <w:highlight w:val="none"/>
              </w:rPr>
              <w:t>三同时</w:t>
            </w:r>
            <w:r>
              <w:rPr>
                <w:rFonts w:hint="eastAsia" w:ascii="Times New Roman" w:hAnsi="Times New Roman" w:cs="Times New Roman"/>
                <w:color w:val="auto"/>
                <w:szCs w:val="24"/>
                <w:highlight w:val="none"/>
                <w:lang w:eastAsia="zh-CN"/>
              </w:rPr>
              <w:t>”</w:t>
            </w:r>
            <w:r>
              <w:rPr>
                <w:rFonts w:hint="default" w:ascii="Times New Roman" w:hAnsi="Times New Roman" w:cs="Times New Roman"/>
                <w:color w:val="auto"/>
                <w:szCs w:val="24"/>
                <w:highlight w:val="none"/>
              </w:rPr>
              <w:t>制度。本建设项目正式投产运营前，建设单位应组织竣工环境保护验收，完成验收5个工作日内进行验收情况公示，</w:t>
            </w:r>
            <w:r>
              <w:rPr>
                <w:rFonts w:hint="eastAsia" w:ascii="Times New Roman" w:hAnsi="Times New Roman" w:cs="Times New Roman"/>
                <w:color w:val="auto"/>
                <w:szCs w:val="24"/>
                <w:highlight w:val="none"/>
                <w:lang w:eastAsia="zh-CN"/>
              </w:rPr>
              <w:t>“</w:t>
            </w:r>
            <w:r>
              <w:rPr>
                <w:rFonts w:hint="default" w:ascii="Times New Roman" w:hAnsi="Times New Roman" w:cs="Times New Roman"/>
                <w:color w:val="auto"/>
                <w:szCs w:val="24"/>
                <w:highlight w:val="none"/>
              </w:rPr>
              <w:t>建设项目竣工环境保护验收调查报告表</w:t>
            </w:r>
            <w:r>
              <w:rPr>
                <w:rFonts w:hint="eastAsia" w:ascii="Times New Roman" w:hAnsi="Times New Roman" w:cs="Times New Roman"/>
                <w:color w:val="auto"/>
                <w:szCs w:val="24"/>
                <w:highlight w:val="none"/>
                <w:lang w:eastAsia="zh-CN"/>
              </w:rPr>
              <w:t>”</w:t>
            </w:r>
            <w:r>
              <w:rPr>
                <w:rFonts w:hint="default" w:ascii="Times New Roman" w:hAnsi="Times New Roman" w:cs="Times New Roman"/>
                <w:color w:val="auto"/>
                <w:szCs w:val="24"/>
                <w:highlight w:val="none"/>
              </w:rPr>
              <w:t>主要内容应包括：</w:t>
            </w:r>
          </w:p>
          <w:p w14:paraId="6B90F48C">
            <w:pPr>
              <w:pStyle w:val="104"/>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（1）实际工程内容及变动情况。</w:t>
            </w:r>
          </w:p>
          <w:p w14:paraId="3302842A">
            <w:pPr>
              <w:pStyle w:val="104"/>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（2）环境保护目标基本情况及变动情况</w:t>
            </w:r>
          </w:p>
          <w:p w14:paraId="029508EB">
            <w:pPr>
              <w:pStyle w:val="104"/>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（3）环境影响报告表及批复提出的环保措施及设施落实情况。</w:t>
            </w:r>
          </w:p>
          <w:p w14:paraId="2A83C1B1">
            <w:pPr>
              <w:pStyle w:val="104"/>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（4）环境质量和环境监测因子达标情况。</w:t>
            </w:r>
          </w:p>
          <w:p w14:paraId="1BAA5E20">
            <w:pPr>
              <w:pStyle w:val="104"/>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（5）环境管理与监测计划落实情况。</w:t>
            </w:r>
          </w:p>
          <w:p w14:paraId="71E9AC4B">
            <w:pPr>
              <w:pStyle w:val="104"/>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（6）环境保护投资落实情况。</w:t>
            </w:r>
          </w:p>
          <w:p w14:paraId="2C839BB4">
            <w:pPr>
              <w:tabs>
                <w:tab w:val="left" w:pos="0"/>
              </w:tabs>
              <w:snapToGrid w:val="0"/>
              <w:spacing w:before="20" w:after="20" w:line="360" w:lineRule="auto"/>
              <w:rPr>
                <w:rFonts w:hint="default" w:ascii="Times New Roman" w:hAnsi="Times New Roman" w:cs="Times New Roman"/>
                <w:b/>
                <w:color w:val="auto"/>
                <w:sz w:val="24"/>
                <w:highlight w:val="none"/>
              </w:rPr>
            </w:pPr>
            <w:bookmarkStart w:id="66" w:name="_Toc386301464"/>
            <w:bookmarkStart w:id="67" w:name="_Toc198366294"/>
            <w:bookmarkStart w:id="68" w:name="_Toc198368889"/>
            <w:bookmarkStart w:id="69" w:name="_Toc194202852"/>
            <w:bookmarkStart w:id="70" w:name="_Toc198366020"/>
            <w:r>
              <w:rPr>
                <w:rFonts w:hint="default" w:ascii="Times New Roman" w:hAnsi="Times New Roman" w:cs="Times New Roman"/>
                <w:b/>
                <w:color w:val="auto"/>
                <w:sz w:val="24"/>
                <w:highlight w:val="none"/>
              </w:rPr>
              <w:t>1.4运营期环境管理</w:t>
            </w:r>
            <w:bookmarkEnd w:id="66"/>
            <w:bookmarkEnd w:id="67"/>
            <w:bookmarkEnd w:id="68"/>
            <w:bookmarkEnd w:id="69"/>
            <w:bookmarkEnd w:id="70"/>
          </w:p>
          <w:p w14:paraId="4FF915F1">
            <w:pPr>
              <w:pStyle w:val="104"/>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在工程运行期，由广西电网有限责任公司</w:t>
            </w:r>
            <w:r>
              <w:rPr>
                <w:rFonts w:hint="eastAsia" w:ascii="Times New Roman" w:hAnsi="Times New Roman" w:cs="Times New Roman"/>
                <w:color w:val="auto"/>
                <w:szCs w:val="24"/>
                <w:highlight w:val="none"/>
                <w:lang w:eastAsia="zh-CN"/>
              </w:rPr>
              <w:t>柳州供电局</w:t>
            </w:r>
            <w:r>
              <w:rPr>
                <w:rFonts w:hint="default" w:ascii="Times New Roman" w:hAnsi="Times New Roman" w:cs="Times New Roman"/>
                <w:color w:val="auto"/>
                <w:szCs w:val="24"/>
                <w:highlight w:val="none"/>
              </w:rPr>
              <w:t>负责运营管理，全面负责工程运行期的各项环境保护工作。</w:t>
            </w:r>
          </w:p>
          <w:p w14:paraId="21CB9851">
            <w:pPr>
              <w:spacing w:line="360" w:lineRule="auto"/>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（1）制定和实施各项环境管理计划。</w:t>
            </w:r>
          </w:p>
          <w:p w14:paraId="1A9F2622">
            <w:pPr>
              <w:spacing w:line="360" w:lineRule="auto"/>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（2）组织和落实项目运行期的环境监测、监督工作，委托有资质的单位承担本工程的环境监测工作。</w:t>
            </w:r>
          </w:p>
          <w:p w14:paraId="66869D7F">
            <w:pPr>
              <w:spacing w:line="360" w:lineRule="auto"/>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（3）建立环境管理和环境监测技术文件。</w:t>
            </w:r>
          </w:p>
          <w:p w14:paraId="55550559">
            <w:pPr>
              <w:spacing w:line="360" w:lineRule="auto"/>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（4）检查各环保设施运行情况，及时处理出现的问题，保证环保设施的正常运行。</w:t>
            </w:r>
          </w:p>
          <w:p w14:paraId="39BB1CF8">
            <w:pPr>
              <w:spacing w:line="360" w:lineRule="auto"/>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（5）不定期地巡查线路各段，特别是环境保护对象，保护生态环境不被破坏，保证生态环境与项目运行相协调。</w:t>
            </w:r>
          </w:p>
          <w:p w14:paraId="456569DB">
            <w:pPr>
              <w:spacing w:line="360" w:lineRule="auto"/>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（6）参照《企业事业单位环境信息公开办法》、《建设项目环境影响评价信息公开机制方案》等要求，及时公开环境信息。</w:t>
            </w:r>
          </w:p>
          <w:p w14:paraId="5E9ADCAF">
            <w:pPr>
              <w:tabs>
                <w:tab w:val="left" w:pos="0"/>
              </w:tabs>
              <w:snapToGrid w:val="0"/>
              <w:spacing w:before="120" w:line="360" w:lineRule="auto"/>
              <w:rPr>
                <w:rFonts w:hint="default" w:ascii="Times New Roman" w:hAnsi="Times New Roman" w:cs="Times New Roman"/>
                <w:b/>
                <w:color w:val="auto"/>
                <w:sz w:val="24"/>
                <w:highlight w:val="none"/>
              </w:rPr>
            </w:pPr>
            <w:bookmarkStart w:id="71" w:name="_Toc386301470"/>
            <w:bookmarkStart w:id="72" w:name="_Toc36293973"/>
            <w:r>
              <w:rPr>
                <w:rFonts w:hint="default" w:ascii="Times New Roman" w:hAnsi="Times New Roman" w:cs="Times New Roman"/>
                <w:b/>
                <w:color w:val="auto"/>
                <w:sz w:val="24"/>
                <w:highlight w:val="none"/>
              </w:rPr>
              <w:t>2.环境监测</w:t>
            </w:r>
            <w:bookmarkEnd w:id="71"/>
            <w:bookmarkEnd w:id="72"/>
            <w:r>
              <w:rPr>
                <w:rFonts w:hint="default" w:ascii="Times New Roman" w:hAnsi="Times New Roman" w:cs="Times New Roman"/>
                <w:b/>
                <w:color w:val="auto"/>
                <w:sz w:val="24"/>
                <w:highlight w:val="none"/>
              </w:rPr>
              <w:t>计划</w:t>
            </w:r>
          </w:p>
          <w:p w14:paraId="3814C6E5">
            <w:pPr>
              <w:spacing w:line="360" w:lineRule="auto"/>
              <w:ind w:firstLine="480"/>
              <w:jc w:val="both"/>
              <w:rPr>
                <w:rFonts w:hint="default" w:ascii="Times New Roman" w:hAnsi="Times New Roman" w:cs="Times New Roman"/>
                <w:color w:val="auto"/>
                <w:sz w:val="24"/>
                <w:highlight w:val="none"/>
              </w:rPr>
            </w:pPr>
            <w:bookmarkStart w:id="73" w:name="_Toc198366026"/>
            <w:bookmarkStart w:id="74" w:name="_Toc198368895"/>
            <w:bookmarkStart w:id="75" w:name="_Toc194202858"/>
            <w:bookmarkStart w:id="76" w:name="_Toc386301471"/>
            <w:bookmarkStart w:id="77" w:name="_Toc198366300"/>
            <w:r>
              <w:rPr>
                <w:rFonts w:hint="default" w:ascii="Times New Roman" w:hAnsi="Times New Roman" w:cs="Times New Roman"/>
                <w:color w:val="auto"/>
                <w:sz w:val="24"/>
                <w:highlight w:val="none"/>
              </w:rPr>
              <w:t>输变电建设项目的主要环境影响评价因子为电磁、生态环境；根据《排污单位自行监测技术指南 总则》（</w:t>
            </w:r>
            <w:r>
              <w:rPr>
                <w:rFonts w:hint="eastAsia" w:cs="Times New Roman"/>
                <w:color w:val="auto"/>
                <w:sz w:val="24"/>
                <w:highlight w:val="none"/>
                <w:lang w:eastAsia="zh-CN"/>
              </w:rPr>
              <w:t xml:space="preserve">HJ </w:t>
            </w:r>
            <w:r>
              <w:rPr>
                <w:rFonts w:hint="default" w:ascii="Times New Roman" w:hAnsi="Times New Roman" w:cs="Times New Roman"/>
                <w:color w:val="auto"/>
                <w:sz w:val="24"/>
                <w:highlight w:val="none"/>
              </w:rPr>
              <w:t>819-2017）和本项目的环境影响特点制定监测计划，监测其施工期和运行期环境要素及评价因子的动态变化；本项目不涉及污水排放，电磁环境监测工作可委托具有相应资质的单位完成，生态环境主要以现场调查为主。</w:t>
            </w:r>
          </w:p>
          <w:p w14:paraId="08735108">
            <w:pPr>
              <w:tabs>
                <w:tab w:val="left" w:pos="0"/>
              </w:tabs>
              <w:snapToGrid w:val="0"/>
              <w:spacing w:before="20" w:after="20"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2.1工频电场、工频磁场</w:t>
            </w:r>
          </w:p>
          <w:p w14:paraId="4AF85EEC">
            <w:pPr>
              <w:spacing w:line="360" w:lineRule="auto"/>
              <w:ind w:firstLine="48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监测方法：执行《交流输变电工程电磁环境监测方法（试行）》（HJ 681-2013）等监测技术规范、方法。</w:t>
            </w:r>
          </w:p>
          <w:p w14:paraId="355E545C">
            <w:pPr>
              <w:spacing w:line="360" w:lineRule="auto"/>
              <w:ind w:firstLine="48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执行标准：《电磁环境控制限值》（</w:t>
            </w:r>
            <w:r>
              <w:rPr>
                <w:rFonts w:hint="eastAsia" w:cs="Times New Roman"/>
                <w:color w:val="auto"/>
                <w:sz w:val="24"/>
                <w:highlight w:val="none"/>
                <w:lang w:eastAsia="zh-CN"/>
              </w:rPr>
              <w:t xml:space="preserve">GB </w:t>
            </w:r>
            <w:r>
              <w:rPr>
                <w:rFonts w:hint="default" w:ascii="Times New Roman" w:hAnsi="Times New Roman" w:cs="Times New Roman"/>
                <w:color w:val="auto"/>
                <w:sz w:val="24"/>
                <w:highlight w:val="none"/>
              </w:rPr>
              <w:t>8702-2014）。</w:t>
            </w:r>
          </w:p>
          <w:p w14:paraId="7ED711FA">
            <w:pPr>
              <w:spacing w:line="360" w:lineRule="auto"/>
              <w:ind w:firstLine="48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监测点位布置：线路沿线、电磁环境敏感目标。</w:t>
            </w:r>
          </w:p>
          <w:p w14:paraId="1BD9ABBE">
            <w:pPr>
              <w:spacing w:line="360" w:lineRule="auto"/>
              <w:ind w:firstLine="48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监测频次及时间：环境保护设施调试期1次；运行期定期监测；投诉纠纷时加强监测。</w:t>
            </w:r>
          </w:p>
          <w:p w14:paraId="089E5EAF">
            <w:pPr>
              <w:tabs>
                <w:tab w:val="left" w:pos="0"/>
              </w:tabs>
              <w:snapToGrid w:val="0"/>
              <w:spacing w:before="20" w:after="20"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2.2噪声</w:t>
            </w:r>
          </w:p>
          <w:p w14:paraId="3EA31E11">
            <w:pPr>
              <w:spacing w:line="360" w:lineRule="auto"/>
              <w:ind w:firstLine="48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监测方法及执行标准：《</w:t>
            </w:r>
            <w:r>
              <w:rPr>
                <w:rFonts w:hint="default" w:ascii="Times New Roman" w:hAnsi="Times New Roman" w:cs="Times New Roman"/>
                <w:color w:val="auto"/>
                <w:sz w:val="24"/>
                <w:highlight w:val="none"/>
                <w:lang w:eastAsia="zh-CN"/>
              </w:rPr>
              <w:t>建筑施工噪声排放标准</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GB12523-2025</w:t>
            </w:r>
            <w:r>
              <w:rPr>
                <w:rFonts w:hint="default" w:ascii="Times New Roman" w:hAnsi="Times New Roman" w:cs="Times New Roman"/>
                <w:color w:val="auto"/>
                <w:sz w:val="24"/>
                <w:highlight w:val="none"/>
              </w:rPr>
              <w:t>）、《声环境质量标准》（GB3096-2008）。</w:t>
            </w:r>
          </w:p>
          <w:p w14:paraId="12C53863">
            <w:pPr>
              <w:spacing w:line="360" w:lineRule="auto"/>
              <w:ind w:firstLine="48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监测点位布置：线路沿线。</w:t>
            </w:r>
          </w:p>
          <w:p w14:paraId="0DD5C2F7">
            <w:pPr>
              <w:spacing w:line="360" w:lineRule="auto"/>
              <w:ind w:firstLine="48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监测频次及时间：项目施工期间抽测；环境保护设施调试期1次；运行期定期监测；投诉纠纷时加强监测。</w:t>
            </w:r>
          </w:p>
          <w:bookmarkEnd w:id="73"/>
          <w:bookmarkEnd w:id="74"/>
          <w:bookmarkEnd w:id="75"/>
          <w:bookmarkEnd w:id="76"/>
          <w:bookmarkEnd w:id="77"/>
          <w:p w14:paraId="2AC7D0AA">
            <w:pPr>
              <w:tabs>
                <w:tab w:val="left" w:pos="0"/>
              </w:tabs>
              <w:snapToGrid w:val="0"/>
              <w:spacing w:before="20" w:after="20"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2.</w:t>
            </w:r>
            <w:r>
              <w:rPr>
                <w:rFonts w:hint="eastAsia" w:cs="Times New Roman"/>
                <w:b/>
                <w:color w:val="auto"/>
                <w:sz w:val="24"/>
                <w:highlight w:val="none"/>
                <w:lang w:val="en-US" w:eastAsia="zh-CN"/>
              </w:rPr>
              <w:t>2</w:t>
            </w:r>
            <w:r>
              <w:rPr>
                <w:rFonts w:hint="default" w:ascii="Times New Roman" w:hAnsi="Times New Roman" w:cs="Times New Roman"/>
                <w:b/>
                <w:color w:val="auto"/>
                <w:sz w:val="24"/>
                <w:highlight w:val="none"/>
              </w:rPr>
              <w:t>生态环境</w:t>
            </w:r>
          </w:p>
          <w:p w14:paraId="1561CC64">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监测因子：土地利用状况、临时占地恢复、建设区域内的植被恢复效果。</w:t>
            </w:r>
          </w:p>
          <w:p w14:paraId="63EAC50F">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监测方法：符合国家现行的有关生态监测规范和监测标准分析方法。</w:t>
            </w:r>
          </w:p>
          <w:p w14:paraId="4096BB26">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监测点位：</w:t>
            </w:r>
            <w:r>
              <w:rPr>
                <w:rFonts w:hint="eastAsia" w:cs="Times New Roman"/>
                <w:color w:val="auto"/>
                <w:sz w:val="24"/>
                <w:highlight w:val="none"/>
                <w:lang w:val="en-US" w:eastAsia="zh-CN"/>
              </w:rPr>
              <w:t>电缆沟区</w:t>
            </w:r>
            <w:r>
              <w:rPr>
                <w:rFonts w:hint="default" w:ascii="Times New Roman" w:hAnsi="Times New Roman" w:cs="Times New Roman"/>
                <w:color w:val="auto"/>
                <w:sz w:val="24"/>
                <w:highlight w:val="none"/>
              </w:rPr>
              <w:t>、临时施工场地等施工扰动区域。</w:t>
            </w:r>
          </w:p>
          <w:p w14:paraId="079BFBAD">
            <w:pPr>
              <w:autoSpaceDN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监测频次：工程施工期监测1次，环境保护设施调试期监测1次。</w:t>
            </w:r>
          </w:p>
        </w:tc>
      </w:tr>
      <w:tr w14:paraId="2B821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9" w:hRule="atLeast"/>
          <w:jc w:val="center"/>
        </w:trPr>
        <w:tc>
          <w:tcPr>
            <w:tcW w:w="231" w:type="pct"/>
            <w:vAlign w:val="center"/>
          </w:tcPr>
          <w:p w14:paraId="37E5CB39">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 w:val="24"/>
                <w:highlight w:val="none"/>
              </w:rPr>
              <w:t>环保投资</w:t>
            </w:r>
          </w:p>
        </w:tc>
        <w:tc>
          <w:tcPr>
            <w:tcW w:w="4768" w:type="pct"/>
            <w:vAlign w:val="top"/>
          </w:tcPr>
          <w:p w14:paraId="05B20C2C">
            <w:pPr>
              <w:spacing w:line="348"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本项目总投资1015万元，其中环保投资18.5万元，环保投资占总投资</w:t>
            </w:r>
            <w:r>
              <w:rPr>
                <w:rFonts w:hint="eastAsia" w:ascii="Times New Roman" w:hAnsi="Times New Roman" w:cs="Times New Roman"/>
                <w:color w:val="auto"/>
                <w:sz w:val="24"/>
                <w:highlight w:val="none"/>
                <w:lang w:val="en-US" w:eastAsia="zh-CN"/>
              </w:rPr>
              <w:t>1.82</w:t>
            </w:r>
            <w:r>
              <w:rPr>
                <w:rFonts w:hint="default" w:ascii="Times New Roman" w:hAnsi="Times New Roman" w:cs="Times New Roman"/>
                <w:color w:val="auto"/>
                <w:sz w:val="24"/>
                <w:highlight w:val="none"/>
              </w:rPr>
              <w:t>%。本项目环保投资估算见表5-1。</w:t>
            </w:r>
          </w:p>
          <w:p w14:paraId="1A89ABE2">
            <w:pPr>
              <w:ind w:firstLine="482" w:firstLineChars="20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表5-1 环保投资估算表</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601"/>
              <w:gridCol w:w="2069"/>
              <w:gridCol w:w="1117"/>
              <w:gridCol w:w="3723"/>
              <w:gridCol w:w="1439"/>
            </w:tblGrid>
            <w:tr w14:paraId="4BD49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336" w:type="pct"/>
                  <w:vAlign w:val="center"/>
                </w:tcPr>
                <w:p w14:paraId="4AD8DCB1">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编号</w:t>
                  </w:r>
                </w:p>
              </w:tc>
              <w:tc>
                <w:tcPr>
                  <w:tcW w:w="1156" w:type="pct"/>
                  <w:vAlign w:val="center"/>
                </w:tcPr>
                <w:p w14:paraId="7C975727">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项目名称</w:t>
                  </w:r>
                </w:p>
              </w:tc>
              <w:tc>
                <w:tcPr>
                  <w:tcW w:w="624" w:type="pct"/>
                  <w:vAlign w:val="center"/>
                </w:tcPr>
                <w:p w14:paraId="54F75FBD">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费用</w:t>
                  </w:r>
                </w:p>
                <w:p w14:paraId="3120B725">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2080" w:type="pct"/>
                  <w:vAlign w:val="center"/>
                </w:tcPr>
                <w:p w14:paraId="4F1EC5FB">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具体内容</w:t>
                  </w:r>
                </w:p>
              </w:tc>
              <w:tc>
                <w:tcPr>
                  <w:tcW w:w="804" w:type="pct"/>
                  <w:vAlign w:val="center"/>
                </w:tcPr>
                <w:p w14:paraId="6A9E0938">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责任主体</w:t>
                  </w:r>
                </w:p>
              </w:tc>
            </w:tr>
            <w:tr w14:paraId="092B6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36" w:type="pct"/>
                  <w:vAlign w:val="center"/>
                </w:tcPr>
                <w:p w14:paraId="36B5E5D6">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156" w:type="pct"/>
                  <w:vAlign w:val="center"/>
                </w:tcPr>
                <w:p w14:paraId="7B3F16F5">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生态环境保护费</w:t>
                  </w:r>
                </w:p>
              </w:tc>
              <w:tc>
                <w:tcPr>
                  <w:tcW w:w="624" w:type="pct"/>
                  <w:vAlign w:val="center"/>
                </w:tcPr>
                <w:p w14:paraId="3E60BB80">
                  <w:pPr>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w:t>
                  </w:r>
                </w:p>
              </w:tc>
              <w:tc>
                <w:tcPr>
                  <w:tcW w:w="2080" w:type="pct"/>
                  <w:vAlign w:val="center"/>
                </w:tcPr>
                <w:p w14:paraId="2005F924">
                  <w:pPr>
                    <w:snapToGrid w:val="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电缆沟区</w:t>
                  </w:r>
                  <w:r>
                    <w:rPr>
                      <w:rFonts w:hint="default" w:ascii="Times New Roman" w:hAnsi="Times New Roman" w:cs="Times New Roman"/>
                      <w:color w:val="auto"/>
                      <w:szCs w:val="21"/>
                      <w:highlight w:val="none"/>
                    </w:rPr>
                    <w:t>及施工临时占地植被恢复，</w:t>
                  </w:r>
                  <w:r>
                    <w:rPr>
                      <w:rFonts w:hint="eastAsia" w:ascii="Times New Roman" w:hAnsi="Times New Roman" w:cs="Times New Roman"/>
                      <w:color w:val="auto"/>
                      <w:szCs w:val="21"/>
                      <w:highlight w:val="none"/>
                      <w:lang w:val="en-US" w:eastAsia="zh-CN"/>
                    </w:rPr>
                    <w:t>临时拦</w:t>
                  </w:r>
                  <w:r>
                    <w:rPr>
                      <w:rFonts w:hint="default" w:ascii="Times New Roman" w:hAnsi="Times New Roman" w:cs="Times New Roman"/>
                      <w:color w:val="auto"/>
                      <w:szCs w:val="21"/>
                      <w:highlight w:val="none"/>
                    </w:rPr>
                    <w:t>挡、排水沟等水土保持措施</w:t>
                  </w:r>
                </w:p>
              </w:tc>
              <w:tc>
                <w:tcPr>
                  <w:tcW w:w="804" w:type="pct"/>
                  <w:vMerge w:val="restart"/>
                  <w:vAlign w:val="center"/>
                </w:tcPr>
                <w:p w14:paraId="2033932D">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建设单位、设计单位、</w:t>
                  </w:r>
                </w:p>
                <w:p w14:paraId="75A1E88E">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施工单位、</w:t>
                  </w:r>
                </w:p>
                <w:p w14:paraId="5F638D2A">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监理单位</w:t>
                  </w:r>
                </w:p>
              </w:tc>
            </w:tr>
            <w:tr w14:paraId="62588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336" w:type="pct"/>
                  <w:vAlign w:val="center"/>
                </w:tcPr>
                <w:p w14:paraId="623E1A4D">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1156" w:type="pct"/>
                  <w:vAlign w:val="center"/>
                </w:tcPr>
                <w:p w14:paraId="0383E374">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snapToGrid w:val="0"/>
                      <w:color w:val="auto"/>
                      <w:kern w:val="0"/>
                      <w:szCs w:val="21"/>
                      <w:highlight w:val="none"/>
                    </w:rPr>
                    <w:t>水环境保护费</w:t>
                  </w:r>
                </w:p>
              </w:tc>
              <w:tc>
                <w:tcPr>
                  <w:tcW w:w="624" w:type="pct"/>
                  <w:vAlign w:val="center"/>
                </w:tcPr>
                <w:p w14:paraId="75B986B2">
                  <w:pPr>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kern w:val="0"/>
                      <w:szCs w:val="21"/>
                      <w:highlight w:val="none"/>
                      <w:lang w:val="en-US" w:eastAsia="zh-CN"/>
                    </w:rPr>
                    <w:t>1</w:t>
                  </w:r>
                </w:p>
              </w:tc>
              <w:tc>
                <w:tcPr>
                  <w:tcW w:w="2080" w:type="pct"/>
                  <w:vAlign w:val="center"/>
                </w:tcPr>
                <w:p w14:paraId="69714549">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主要包括施工期沉淀池、清运费等</w:t>
                  </w:r>
                </w:p>
              </w:tc>
              <w:tc>
                <w:tcPr>
                  <w:tcW w:w="804" w:type="pct"/>
                  <w:vMerge w:val="continue"/>
                  <w:vAlign w:val="center"/>
                </w:tcPr>
                <w:p w14:paraId="397BEDA4">
                  <w:pPr>
                    <w:snapToGrid w:val="0"/>
                    <w:jc w:val="center"/>
                    <w:rPr>
                      <w:rFonts w:hint="default" w:ascii="Times New Roman" w:hAnsi="Times New Roman" w:cs="Times New Roman"/>
                      <w:color w:val="auto"/>
                      <w:szCs w:val="21"/>
                      <w:highlight w:val="none"/>
                    </w:rPr>
                  </w:pPr>
                </w:p>
              </w:tc>
            </w:tr>
            <w:tr w14:paraId="2D04A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336" w:type="pct"/>
                  <w:vAlign w:val="center"/>
                </w:tcPr>
                <w:p w14:paraId="79C7A16D">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1156" w:type="pct"/>
                  <w:vAlign w:val="center"/>
                </w:tcPr>
                <w:p w14:paraId="7A88D5DE">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snapToGrid w:val="0"/>
                      <w:color w:val="auto"/>
                      <w:kern w:val="0"/>
                      <w:szCs w:val="21"/>
                      <w:highlight w:val="none"/>
                    </w:rPr>
                    <w:t>固废处置及利用费</w:t>
                  </w:r>
                </w:p>
              </w:tc>
              <w:tc>
                <w:tcPr>
                  <w:tcW w:w="624" w:type="pct"/>
                  <w:vAlign w:val="center"/>
                </w:tcPr>
                <w:p w14:paraId="6E81AED7">
                  <w:pPr>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kern w:val="0"/>
                      <w:szCs w:val="21"/>
                      <w:highlight w:val="none"/>
                      <w:lang w:val="en-US" w:eastAsia="zh-CN"/>
                    </w:rPr>
                    <w:t>2</w:t>
                  </w:r>
                </w:p>
              </w:tc>
              <w:tc>
                <w:tcPr>
                  <w:tcW w:w="2080" w:type="pct"/>
                  <w:vAlign w:val="center"/>
                </w:tcPr>
                <w:p w14:paraId="001D5E6D">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主要包括施工期生活垃圾、弃土弃渣清运等</w:t>
                  </w:r>
                </w:p>
              </w:tc>
              <w:tc>
                <w:tcPr>
                  <w:tcW w:w="804" w:type="pct"/>
                  <w:vMerge w:val="continue"/>
                  <w:vAlign w:val="center"/>
                </w:tcPr>
                <w:p w14:paraId="01BC39DE">
                  <w:pPr>
                    <w:snapToGrid w:val="0"/>
                    <w:jc w:val="center"/>
                    <w:rPr>
                      <w:rFonts w:hint="default" w:ascii="Times New Roman" w:hAnsi="Times New Roman" w:cs="Times New Roman"/>
                      <w:color w:val="auto"/>
                      <w:szCs w:val="21"/>
                      <w:highlight w:val="none"/>
                    </w:rPr>
                  </w:pPr>
                </w:p>
              </w:tc>
            </w:tr>
            <w:tr w14:paraId="15390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336" w:type="pct"/>
                  <w:vAlign w:val="center"/>
                </w:tcPr>
                <w:p w14:paraId="271F286C">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1156" w:type="pct"/>
                  <w:vAlign w:val="center"/>
                </w:tcPr>
                <w:p w14:paraId="715E905C">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snapToGrid w:val="0"/>
                      <w:color w:val="auto"/>
                      <w:kern w:val="0"/>
                      <w:szCs w:val="21"/>
                      <w:highlight w:val="none"/>
                    </w:rPr>
                    <w:t>大气污染防治费</w:t>
                  </w:r>
                </w:p>
              </w:tc>
              <w:tc>
                <w:tcPr>
                  <w:tcW w:w="624" w:type="pct"/>
                  <w:vAlign w:val="center"/>
                </w:tcPr>
                <w:p w14:paraId="53D508CD">
                  <w:pPr>
                    <w:snapToGrid w:val="0"/>
                    <w:jc w:val="center"/>
                    <w:rPr>
                      <w:rFonts w:hint="default" w:ascii="Times New Roman" w:hAnsi="Times New Roman" w:eastAsia="宋体" w:cs="Times New Roman"/>
                      <w:color w:val="auto"/>
                      <w:szCs w:val="21"/>
                      <w:highlight w:val="none"/>
                      <w:lang w:eastAsia="zh-CN"/>
                    </w:rPr>
                  </w:pPr>
                  <w:r>
                    <w:rPr>
                      <w:rFonts w:hint="eastAsia" w:cs="Times New Roman"/>
                      <w:color w:val="auto"/>
                      <w:kern w:val="0"/>
                      <w:szCs w:val="21"/>
                      <w:highlight w:val="none"/>
                      <w:lang w:val="en-US" w:eastAsia="zh-CN"/>
                    </w:rPr>
                    <w:t>3</w:t>
                  </w:r>
                </w:p>
              </w:tc>
              <w:tc>
                <w:tcPr>
                  <w:tcW w:w="2080" w:type="pct"/>
                  <w:vAlign w:val="center"/>
                </w:tcPr>
                <w:p w14:paraId="2EBF8DF2">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施工期场地洒水以及防尘布等</w:t>
                  </w:r>
                </w:p>
              </w:tc>
              <w:tc>
                <w:tcPr>
                  <w:tcW w:w="804" w:type="pct"/>
                  <w:vMerge w:val="continue"/>
                  <w:vAlign w:val="center"/>
                </w:tcPr>
                <w:p w14:paraId="05B53EDB">
                  <w:pPr>
                    <w:snapToGrid w:val="0"/>
                    <w:jc w:val="center"/>
                    <w:rPr>
                      <w:rFonts w:hint="default" w:ascii="Times New Roman" w:hAnsi="Times New Roman" w:cs="Times New Roman"/>
                      <w:color w:val="auto"/>
                      <w:szCs w:val="21"/>
                      <w:highlight w:val="none"/>
                      <w:lang w:bidi="ar"/>
                    </w:rPr>
                  </w:pPr>
                </w:p>
              </w:tc>
            </w:tr>
            <w:tr w14:paraId="088D5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336" w:type="pct"/>
                  <w:vAlign w:val="center"/>
                </w:tcPr>
                <w:p w14:paraId="4783344A">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1156" w:type="pct"/>
                  <w:vAlign w:val="center"/>
                </w:tcPr>
                <w:p w14:paraId="0F79C4B1">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snapToGrid w:val="0"/>
                      <w:color w:val="auto"/>
                      <w:kern w:val="0"/>
                      <w:szCs w:val="21"/>
                      <w:highlight w:val="none"/>
                    </w:rPr>
                    <w:t>声环境污染防治费</w:t>
                  </w:r>
                </w:p>
              </w:tc>
              <w:tc>
                <w:tcPr>
                  <w:tcW w:w="624" w:type="pct"/>
                  <w:vAlign w:val="center"/>
                </w:tcPr>
                <w:p w14:paraId="4D7B6A8E">
                  <w:pPr>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kern w:val="0"/>
                      <w:szCs w:val="21"/>
                      <w:highlight w:val="none"/>
                      <w:lang w:val="en-US" w:eastAsia="zh-CN"/>
                    </w:rPr>
                    <w:t>1</w:t>
                  </w:r>
                </w:p>
              </w:tc>
              <w:tc>
                <w:tcPr>
                  <w:tcW w:w="2080" w:type="pct"/>
                  <w:vAlign w:val="center"/>
                </w:tcPr>
                <w:p w14:paraId="12B3A287">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选用低噪声</w:t>
                  </w:r>
                  <w:r>
                    <w:rPr>
                      <w:rFonts w:hint="eastAsia" w:ascii="Times New Roman" w:hAnsi="Times New Roman" w:cs="Times New Roman"/>
                      <w:color w:val="auto"/>
                      <w:szCs w:val="21"/>
                      <w:highlight w:val="none"/>
                      <w:lang w:val="en-US" w:eastAsia="zh-CN"/>
                    </w:rPr>
                    <w:t>施工设备</w:t>
                  </w:r>
                </w:p>
              </w:tc>
              <w:tc>
                <w:tcPr>
                  <w:tcW w:w="804" w:type="pct"/>
                  <w:vMerge w:val="continue"/>
                  <w:vAlign w:val="center"/>
                </w:tcPr>
                <w:p w14:paraId="106EDFD3">
                  <w:pPr>
                    <w:snapToGrid w:val="0"/>
                    <w:jc w:val="center"/>
                    <w:rPr>
                      <w:rFonts w:hint="default" w:ascii="Times New Roman" w:hAnsi="Times New Roman" w:cs="Times New Roman"/>
                      <w:color w:val="auto"/>
                      <w:szCs w:val="21"/>
                      <w:highlight w:val="none"/>
                    </w:rPr>
                  </w:pPr>
                </w:p>
              </w:tc>
            </w:tr>
            <w:tr w14:paraId="68C7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336" w:type="pct"/>
                  <w:vAlign w:val="center"/>
                </w:tcPr>
                <w:p w14:paraId="718481FE">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w:t>
                  </w:r>
                </w:p>
              </w:tc>
              <w:tc>
                <w:tcPr>
                  <w:tcW w:w="1156" w:type="pct"/>
                  <w:vAlign w:val="center"/>
                </w:tcPr>
                <w:p w14:paraId="19210B61">
                  <w:pPr>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宣传培训费</w:t>
                  </w:r>
                </w:p>
              </w:tc>
              <w:tc>
                <w:tcPr>
                  <w:tcW w:w="624" w:type="pct"/>
                  <w:vAlign w:val="center"/>
                </w:tcPr>
                <w:p w14:paraId="2114DB93">
                  <w:pPr>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0.5</w:t>
                  </w:r>
                </w:p>
              </w:tc>
              <w:tc>
                <w:tcPr>
                  <w:tcW w:w="2080" w:type="pct"/>
                  <w:vAlign w:val="center"/>
                </w:tcPr>
                <w:p w14:paraId="538D7F6D">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施工期环境保护、电磁环境及环境法律知识培训等</w:t>
                  </w:r>
                </w:p>
              </w:tc>
              <w:tc>
                <w:tcPr>
                  <w:tcW w:w="804" w:type="pct"/>
                  <w:vMerge w:val="continue"/>
                  <w:vAlign w:val="center"/>
                </w:tcPr>
                <w:p w14:paraId="316DE92E">
                  <w:pPr>
                    <w:snapToGrid w:val="0"/>
                    <w:jc w:val="center"/>
                    <w:rPr>
                      <w:rFonts w:hint="default" w:ascii="Times New Roman" w:hAnsi="Times New Roman" w:cs="Times New Roman"/>
                      <w:color w:val="auto"/>
                      <w:szCs w:val="21"/>
                      <w:highlight w:val="none"/>
                    </w:rPr>
                  </w:pPr>
                </w:p>
              </w:tc>
            </w:tr>
            <w:tr w14:paraId="7834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336" w:type="pct"/>
                  <w:vAlign w:val="center"/>
                </w:tcPr>
                <w:p w14:paraId="2556BC9D">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w:t>
                  </w:r>
                </w:p>
              </w:tc>
              <w:tc>
                <w:tcPr>
                  <w:tcW w:w="1156" w:type="pct"/>
                  <w:vAlign w:val="center"/>
                </w:tcPr>
                <w:p w14:paraId="6D384460">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环保咨询费</w:t>
                  </w:r>
                </w:p>
              </w:tc>
              <w:tc>
                <w:tcPr>
                  <w:tcW w:w="624" w:type="pct"/>
                  <w:vAlign w:val="center"/>
                </w:tcPr>
                <w:p w14:paraId="0129DE41">
                  <w:pPr>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kern w:val="0"/>
                      <w:szCs w:val="21"/>
                      <w:highlight w:val="none"/>
                      <w:lang w:val="en-US" w:eastAsia="zh-CN"/>
                    </w:rPr>
                    <w:t>8</w:t>
                  </w:r>
                </w:p>
              </w:tc>
              <w:tc>
                <w:tcPr>
                  <w:tcW w:w="2080" w:type="pct"/>
                  <w:vAlign w:val="center"/>
                </w:tcPr>
                <w:p w14:paraId="70D33759">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环评、竣工环保验收、环境监测费等</w:t>
                  </w:r>
                </w:p>
              </w:tc>
              <w:tc>
                <w:tcPr>
                  <w:tcW w:w="804" w:type="pct"/>
                  <w:vAlign w:val="center"/>
                </w:tcPr>
                <w:p w14:paraId="03754FED">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建设单位</w:t>
                  </w:r>
                </w:p>
              </w:tc>
            </w:tr>
            <w:tr w14:paraId="79977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492" w:type="pct"/>
                  <w:gridSpan w:val="2"/>
                  <w:vAlign w:val="center"/>
                </w:tcPr>
                <w:p w14:paraId="0051F1E3">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环保投资合计</w:t>
                  </w:r>
                </w:p>
              </w:tc>
              <w:tc>
                <w:tcPr>
                  <w:tcW w:w="624" w:type="pct"/>
                  <w:vAlign w:val="center"/>
                </w:tcPr>
                <w:p w14:paraId="3094C053">
                  <w:pPr>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18.5</w:t>
                  </w:r>
                </w:p>
              </w:tc>
              <w:tc>
                <w:tcPr>
                  <w:tcW w:w="2080" w:type="pct"/>
                  <w:vAlign w:val="center"/>
                </w:tcPr>
                <w:p w14:paraId="6D8DD31C">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804" w:type="pct"/>
                  <w:vAlign w:val="center"/>
                </w:tcPr>
                <w:p w14:paraId="64D43CC3">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14:paraId="058B91B6">
            <w:pPr>
              <w:tabs>
                <w:tab w:val="left" w:pos="0"/>
              </w:tabs>
              <w:snapToGrid w:val="0"/>
              <w:spacing w:before="120" w:line="360" w:lineRule="auto"/>
              <w:rPr>
                <w:rFonts w:hint="default" w:ascii="Times New Roman" w:hAnsi="Times New Roman" w:cs="Times New Roman"/>
                <w:b/>
                <w:color w:val="auto"/>
                <w:sz w:val="24"/>
                <w:highlight w:val="none"/>
              </w:rPr>
            </w:pPr>
          </w:p>
          <w:p w14:paraId="472F3B86">
            <w:pPr>
              <w:tabs>
                <w:tab w:val="left" w:pos="0"/>
              </w:tabs>
              <w:snapToGrid w:val="0"/>
              <w:spacing w:before="120" w:line="360" w:lineRule="auto"/>
              <w:rPr>
                <w:rFonts w:hint="default" w:ascii="Times New Roman" w:hAnsi="Times New Roman" w:cs="Times New Roman"/>
                <w:b/>
                <w:color w:val="auto"/>
                <w:sz w:val="24"/>
                <w:highlight w:val="none"/>
              </w:rPr>
            </w:pPr>
          </w:p>
          <w:p w14:paraId="47FDDA68">
            <w:pPr>
              <w:tabs>
                <w:tab w:val="left" w:pos="0"/>
              </w:tabs>
              <w:snapToGrid w:val="0"/>
              <w:spacing w:before="120" w:line="360" w:lineRule="auto"/>
              <w:rPr>
                <w:rFonts w:hint="default" w:ascii="Times New Roman" w:hAnsi="Times New Roman" w:cs="Times New Roman"/>
                <w:b/>
                <w:color w:val="auto"/>
                <w:sz w:val="24"/>
                <w:highlight w:val="none"/>
              </w:rPr>
            </w:pPr>
          </w:p>
          <w:p w14:paraId="07A33A96">
            <w:pPr>
              <w:tabs>
                <w:tab w:val="left" w:pos="0"/>
              </w:tabs>
              <w:snapToGrid w:val="0"/>
              <w:spacing w:before="120" w:line="360" w:lineRule="auto"/>
              <w:rPr>
                <w:rFonts w:hint="default" w:ascii="Times New Roman" w:hAnsi="Times New Roman" w:cs="Times New Roman"/>
                <w:b/>
                <w:color w:val="auto"/>
                <w:sz w:val="24"/>
                <w:highlight w:val="none"/>
              </w:rPr>
            </w:pPr>
          </w:p>
          <w:p w14:paraId="45CC5F17">
            <w:pPr>
              <w:tabs>
                <w:tab w:val="left" w:pos="0"/>
              </w:tabs>
              <w:snapToGrid w:val="0"/>
              <w:spacing w:before="120" w:line="360" w:lineRule="auto"/>
              <w:rPr>
                <w:rFonts w:hint="default" w:ascii="Times New Roman" w:hAnsi="Times New Roman" w:cs="Times New Roman"/>
                <w:b/>
                <w:color w:val="auto"/>
                <w:sz w:val="24"/>
                <w:highlight w:val="none"/>
              </w:rPr>
            </w:pPr>
          </w:p>
          <w:p w14:paraId="24EC30B5">
            <w:pPr>
              <w:tabs>
                <w:tab w:val="left" w:pos="0"/>
              </w:tabs>
              <w:snapToGrid w:val="0"/>
              <w:spacing w:before="120" w:line="360" w:lineRule="auto"/>
              <w:rPr>
                <w:rFonts w:hint="default" w:ascii="Times New Roman" w:hAnsi="Times New Roman" w:cs="Times New Roman"/>
                <w:b/>
                <w:color w:val="auto"/>
                <w:sz w:val="24"/>
                <w:highlight w:val="none"/>
              </w:rPr>
            </w:pPr>
          </w:p>
          <w:p w14:paraId="57C336A0">
            <w:pPr>
              <w:tabs>
                <w:tab w:val="left" w:pos="0"/>
              </w:tabs>
              <w:snapToGrid w:val="0"/>
              <w:spacing w:before="120" w:line="360" w:lineRule="auto"/>
              <w:rPr>
                <w:rFonts w:hint="default" w:ascii="Times New Roman" w:hAnsi="Times New Roman" w:cs="Times New Roman"/>
                <w:b/>
                <w:color w:val="auto"/>
                <w:sz w:val="24"/>
                <w:highlight w:val="none"/>
              </w:rPr>
            </w:pPr>
          </w:p>
          <w:p w14:paraId="45EF5877">
            <w:pPr>
              <w:tabs>
                <w:tab w:val="left" w:pos="0"/>
              </w:tabs>
              <w:snapToGrid w:val="0"/>
              <w:spacing w:before="120" w:line="360" w:lineRule="auto"/>
              <w:rPr>
                <w:rFonts w:hint="default" w:ascii="Times New Roman" w:hAnsi="Times New Roman" w:cs="Times New Roman"/>
                <w:b/>
                <w:color w:val="auto"/>
                <w:sz w:val="24"/>
                <w:highlight w:val="none"/>
              </w:rPr>
            </w:pPr>
          </w:p>
          <w:p w14:paraId="7797C9D5">
            <w:pPr>
              <w:tabs>
                <w:tab w:val="left" w:pos="0"/>
              </w:tabs>
              <w:snapToGrid w:val="0"/>
              <w:spacing w:before="120" w:line="360" w:lineRule="auto"/>
              <w:rPr>
                <w:rFonts w:hint="default" w:ascii="Times New Roman" w:hAnsi="Times New Roman" w:cs="Times New Roman"/>
                <w:b/>
                <w:color w:val="auto"/>
                <w:sz w:val="24"/>
                <w:highlight w:val="none"/>
              </w:rPr>
            </w:pPr>
          </w:p>
          <w:p w14:paraId="0288CA4D">
            <w:pPr>
              <w:tabs>
                <w:tab w:val="left" w:pos="0"/>
              </w:tabs>
              <w:snapToGrid w:val="0"/>
              <w:spacing w:before="120" w:line="360" w:lineRule="auto"/>
              <w:rPr>
                <w:rFonts w:hint="default" w:ascii="Times New Roman" w:hAnsi="Times New Roman" w:cs="Times New Roman"/>
                <w:b/>
                <w:color w:val="auto"/>
                <w:sz w:val="24"/>
                <w:highlight w:val="none"/>
              </w:rPr>
            </w:pPr>
          </w:p>
        </w:tc>
      </w:tr>
    </w:tbl>
    <w:p w14:paraId="39D5607C">
      <w:pPr>
        <w:rPr>
          <w:color w:val="auto"/>
          <w:highlight w:val="none"/>
        </w:rPr>
        <w:sectPr>
          <w:pgSz w:w="11907" w:h="16840"/>
          <w:pgMar w:top="1134" w:right="1361" w:bottom="1134" w:left="1361" w:header="851" w:footer="1077" w:gutter="0"/>
          <w:pgBorders>
            <w:top w:val="none" w:sz="0" w:space="0"/>
            <w:left w:val="none" w:sz="0" w:space="0"/>
            <w:bottom w:val="none" w:sz="0" w:space="0"/>
            <w:right w:val="none" w:sz="0" w:space="0"/>
          </w:pgBorders>
          <w:cols w:space="720" w:num="1"/>
          <w:docGrid w:linePitch="312" w:charSpace="0"/>
        </w:sectPr>
      </w:pPr>
    </w:p>
    <w:p w14:paraId="49E353AE">
      <w:pPr>
        <w:pStyle w:val="39"/>
        <w:jc w:val="center"/>
        <w:outlineLvl w:val="0"/>
        <w:rPr>
          <w:rFonts w:ascii="Times New Roman" w:hAnsi="Times New Roman" w:eastAsia="黑体"/>
          <w:snapToGrid w:val="0"/>
          <w:color w:val="auto"/>
          <w:sz w:val="30"/>
          <w:szCs w:val="30"/>
          <w:highlight w:val="none"/>
        </w:rPr>
      </w:pPr>
      <w:bookmarkStart w:id="78" w:name="_Toc79488355"/>
      <w:bookmarkStart w:id="79" w:name="_Toc19941"/>
      <w:bookmarkStart w:id="80" w:name="_Toc70507852"/>
      <w:r>
        <w:rPr>
          <w:rFonts w:ascii="Times New Roman" w:hAnsi="Times New Roman" w:eastAsia="黑体"/>
          <w:snapToGrid w:val="0"/>
          <w:color w:val="auto"/>
          <w:sz w:val="30"/>
          <w:szCs w:val="30"/>
          <w:highlight w:val="none"/>
        </w:rPr>
        <w:t>六、生态环境保护措施监督检查清单</w:t>
      </w:r>
      <w:bookmarkEnd w:id="78"/>
      <w:bookmarkEnd w:id="79"/>
      <w:bookmarkEnd w:id="80"/>
    </w:p>
    <w:tbl>
      <w:tblPr>
        <w:tblStyle w:val="4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85" w:type="dxa"/>
          <w:bottom w:w="0" w:type="dxa"/>
          <w:right w:w="85" w:type="dxa"/>
        </w:tblCellMar>
      </w:tblPr>
      <w:tblGrid>
        <w:gridCol w:w="2059"/>
        <w:gridCol w:w="5160"/>
        <w:gridCol w:w="2270"/>
        <w:gridCol w:w="3263"/>
        <w:gridCol w:w="1376"/>
      </w:tblGrid>
      <w:tr w14:paraId="383D36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309" w:hRule="atLeast"/>
          <w:tblHeader/>
          <w:jc w:val="center"/>
        </w:trPr>
        <w:tc>
          <w:tcPr>
            <w:tcW w:w="728" w:type="pct"/>
            <w:vMerge w:val="restart"/>
            <w:tcBorders>
              <w:tl2br w:val="single" w:color="auto" w:sz="4" w:space="0"/>
            </w:tcBorders>
          </w:tcPr>
          <w:p w14:paraId="310E23DC">
            <w:pPr>
              <w:pStyle w:val="39"/>
              <w:adjustRightInd w:val="0"/>
              <w:snapToGrid w:val="0"/>
              <w:spacing w:before="0" w:beforeAutospacing="0" w:after="0" w:afterAutospacing="0"/>
              <w:jc w:val="center"/>
              <w:rPr>
                <w:rFonts w:ascii="Times New Roman" w:hAnsi="Times New Roman" w:eastAsia="黑体"/>
                <w:color w:val="auto"/>
                <w:kern w:val="2"/>
                <w:sz w:val="21"/>
                <w:szCs w:val="21"/>
                <w:highlight w:val="none"/>
              </w:rPr>
            </w:pPr>
            <w:bookmarkStart w:id="81" w:name="_Toc67329594"/>
            <w:r>
              <w:rPr>
                <w:rFonts w:ascii="Times New Roman" w:hAnsi="Times New Roman" w:eastAsia="黑体"/>
                <w:color w:val="auto"/>
                <w:kern w:val="2"/>
                <w:sz w:val="21"/>
                <w:szCs w:val="21"/>
                <w:highlight w:val="none"/>
              </w:rPr>
              <w:t>内容</w:t>
            </w:r>
            <w:bookmarkEnd w:id="81"/>
          </w:p>
          <w:p w14:paraId="06828D1C">
            <w:pPr>
              <w:pStyle w:val="39"/>
              <w:adjustRightInd w:val="0"/>
              <w:snapToGrid w:val="0"/>
              <w:spacing w:before="0" w:beforeAutospacing="0" w:after="0" w:afterAutospacing="0"/>
              <w:rPr>
                <w:rFonts w:ascii="Times New Roman" w:hAnsi="Times New Roman" w:eastAsia="黑体"/>
                <w:color w:val="auto"/>
                <w:kern w:val="2"/>
                <w:sz w:val="21"/>
                <w:szCs w:val="21"/>
                <w:highlight w:val="none"/>
              </w:rPr>
            </w:pPr>
          </w:p>
          <w:p w14:paraId="596C2B02">
            <w:pPr>
              <w:pStyle w:val="39"/>
              <w:adjustRightInd w:val="0"/>
              <w:snapToGrid w:val="0"/>
              <w:spacing w:before="0" w:beforeAutospacing="0" w:after="0" w:afterAutospacing="0"/>
              <w:rPr>
                <w:rFonts w:ascii="Times New Roman" w:hAnsi="Times New Roman" w:eastAsia="黑体"/>
                <w:color w:val="auto"/>
                <w:kern w:val="2"/>
                <w:sz w:val="21"/>
                <w:szCs w:val="21"/>
                <w:highlight w:val="none"/>
              </w:rPr>
            </w:pPr>
            <w:bookmarkStart w:id="82" w:name="_Toc67329595"/>
            <w:r>
              <w:rPr>
                <w:rFonts w:ascii="Times New Roman" w:hAnsi="Times New Roman" w:eastAsia="黑体"/>
                <w:color w:val="auto"/>
                <w:kern w:val="2"/>
                <w:sz w:val="21"/>
                <w:szCs w:val="21"/>
                <w:highlight w:val="none"/>
              </w:rPr>
              <w:t>要素</w:t>
            </w:r>
            <w:bookmarkEnd w:id="82"/>
          </w:p>
        </w:tc>
        <w:tc>
          <w:tcPr>
            <w:tcW w:w="2629" w:type="pct"/>
            <w:gridSpan w:val="2"/>
            <w:vAlign w:val="center"/>
          </w:tcPr>
          <w:p w14:paraId="25BAE2A4">
            <w:pPr>
              <w:pStyle w:val="39"/>
              <w:adjustRightInd w:val="0"/>
              <w:snapToGrid w:val="0"/>
              <w:spacing w:before="0" w:beforeAutospacing="0" w:after="0" w:afterAutospacing="0"/>
              <w:jc w:val="center"/>
              <w:rPr>
                <w:rFonts w:ascii="Times New Roman" w:hAnsi="Times New Roman" w:eastAsia="黑体"/>
                <w:color w:val="auto"/>
                <w:kern w:val="2"/>
                <w:sz w:val="21"/>
                <w:szCs w:val="21"/>
                <w:highlight w:val="none"/>
              </w:rPr>
            </w:pPr>
            <w:bookmarkStart w:id="83" w:name="_Toc67329596"/>
            <w:r>
              <w:rPr>
                <w:rFonts w:ascii="Times New Roman" w:hAnsi="Times New Roman" w:eastAsia="黑体"/>
                <w:color w:val="auto"/>
                <w:kern w:val="2"/>
                <w:sz w:val="21"/>
                <w:szCs w:val="21"/>
                <w:highlight w:val="none"/>
              </w:rPr>
              <w:t>施工期</w:t>
            </w:r>
            <w:bookmarkEnd w:id="83"/>
          </w:p>
        </w:tc>
        <w:tc>
          <w:tcPr>
            <w:tcW w:w="1641" w:type="pct"/>
            <w:gridSpan w:val="2"/>
            <w:vAlign w:val="center"/>
          </w:tcPr>
          <w:p w14:paraId="0D956B2C">
            <w:pPr>
              <w:pStyle w:val="39"/>
              <w:adjustRightInd w:val="0"/>
              <w:snapToGrid w:val="0"/>
              <w:spacing w:before="0" w:beforeAutospacing="0" w:after="0" w:afterAutospacing="0"/>
              <w:jc w:val="center"/>
              <w:rPr>
                <w:rFonts w:ascii="Times New Roman" w:hAnsi="Times New Roman" w:eastAsia="黑体"/>
                <w:color w:val="auto"/>
                <w:kern w:val="2"/>
                <w:sz w:val="21"/>
                <w:szCs w:val="21"/>
                <w:highlight w:val="none"/>
              </w:rPr>
            </w:pPr>
            <w:bookmarkStart w:id="84" w:name="_Toc67329597"/>
            <w:r>
              <w:rPr>
                <w:rFonts w:ascii="Times New Roman" w:hAnsi="Times New Roman" w:eastAsia="黑体"/>
                <w:color w:val="auto"/>
                <w:kern w:val="2"/>
                <w:sz w:val="21"/>
                <w:szCs w:val="21"/>
                <w:highlight w:val="none"/>
              </w:rPr>
              <w:t>运营期</w:t>
            </w:r>
            <w:bookmarkEnd w:id="84"/>
          </w:p>
        </w:tc>
      </w:tr>
      <w:tr w14:paraId="6A68A6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551" w:hRule="atLeast"/>
          <w:tblHeader/>
          <w:jc w:val="center"/>
        </w:trPr>
        <w:tc>
          <w:tcPr>
            <w:tcW w:w="728" w:type="pct"/>
            <w:vMerge w:val="continue"/>
          </w:tcPr>
          <w:p w14:paraId="1F58EE1C">
            <w:pPr>
              <w:pStyle w:val="39"/>
              <w:adjustRightInd w:val="0"/>
              <w:snapToGrid w:val="0"/>
              <w:spacing w:before="0" w:beforeAutospacing="0" w:after="0" w:afterAutospacing="0"/>
              <w:ind w:firstLine="840"/>
              <w:jc w:val="center"/>
              <w:rPr>
                <w:rFonts w:ascii="Times New Roman" w:hAnsi="Times New Roman" w:eastAsia="黑体"/>
                <w:color w:val="auto"/>
                <w:kern w:val="2"/>
                <w:sz w:val="21"/>
                <w:szCs w:val="21"/>
                <w:highlight w:val="none"/>
              </w:rPr>
            </w:pPr>
          </w:p>
        </w:tc>
        <w:tc>
          <w:tcPr>
            <w:tcW w:w="1826" w:type="pct"/>
            <w:vAlign w:val="center"/>
          </w:tcPr>
          <w:p w14:paraId="31B35C40">
            <w:pPr>
              <w:pStyle w:val="39"/>
              <w:adjustRightInd w:val="0"/>
              <w:snapToGrid w:val="0"/>
              <w:spacing w:before="0" w:beforeAutospacing="0" w:after="0" w:afterAutospacing="0"/>
              <w:jc w:val="center"/>
              <w:rPr>
                <w:rFonts w:ascii="Times New Roman" w:hAnsi="Times New Roman" w:eastAsia="黑体"/>
                <w:color w:val="auto"/>
                <w:kern w:val="2"/>
                <w:sz w:val="21"/>
                <w:szCs w:val="21"/>
                <w:highlight w:val="none"/>
              </w:rPr>
            </w:pPr>
            <w:bookmarkStart w:id="85" w:name="_Toc67329598"/>
            <w:r>
              <w:rPr>
                <w:rFonts w:ascii="Times New Roman" w:hAnsi="Times New Roman" w:eastAsia="黑体"/>
                <w:color w:val="auto"/>
                <w:kern w:val="2"/>
                <w:sz w:val="21"/>
                <w:szCs w:val="21"/>
                <w:highlight w:val="none"/>
              </w:rPr>
              <w:t>环境保护措施</w:t>
            </w:r>
            <w:bookmarkEnd w:id="85"/>
          </w:p>
        </w:tc>
        <w:tc>
          <w:tcPr>
            <w:tcW w:w="803" w:type="pct"/>
            <w:vAlign w:val="center"/>
          </w:tcPr>
          <w:p w14:paraId="48E6BFF1">
            <w:pPr>
              <w:pStyle w:val="39"/>
              <w:adjustRightInd w:val="0"/>
              <w:snapToGrid w:val="0"/>
              <w:spacing w:before="0" w:beforeAutospacing="0" w:after="0" w:afterAutospacing="0"/>
              <w:jc w:val="center"/>
              <w:rPr>
                <w:rFonts w:ascii="Times New Roman" w:hAnsi="Times New Roman" w:eastAsia="黑体"/>
                <w:color w:val="auto"/>
                <w:kern w:val="2"/>
                <w:sz w:val="21"/>
                <w:szCs w:val="21"/>
                <w:highlight w:val="none"/>
              </w:rPr>
            </w:pPr>
            <w:bookmarkStart w:id="86" w:name="_Toc67329599"/>
            <w:r>
              <w:rPr>
                <w:rFonts w:ascii="Times New Roman" w:hAnsi="Times New Roman" w:eastAsia="黑体"/>
                <w:color w:val="auto"/>
                <w:kern w:val="2"/>
                <w:sz w:val="21"/>
                <w:szCs w:val="21"/>
                <w:highlight w:val="none"/>
              </w:rPr>
              <w:t>验收要求</w:t>
            </w:r>
            <w:bookmarkEnd w:id="86"/>
          </w:p>
        </w:tc>
        <w:tc>
          <w:tcPr>
            <w:tcW w:w="1154" w:type="pct"/>
            <w:vAlign w:val="center"/>
          </w:tcPr>
          <w:p w14:paraId="575E5F55">
            <w:pPr>
              <w:pStyle w:val="39"/>
              <w:adjustRightInd w:val="0"/>
              <w:snapToGrid w:val="0"/>
              <w:spacing w:before="0" w:beforeAutospacing="0" w:after="0" w:afterAutospacing="0"/>
              <w:jc w:val="center"/>
              <w:rPr>
                <w:rFonts w:ascii="Times New Roman" w:hAnsi="Times New Roman" w:eastAsia="黑体"/>
                <w:color w:val="auto"/>
                <w:kern w:val="2"/>
                <w:sz w:val="21"/>
                <w:szCs w:val="21"/>
                <w:highlight w:val="none"/>
              </w:rPr>
            </w:pPr>
            <w:bookmarkStart w:id="87" w:name="_Toc67329600"/>
            <w:r>
              <w:rPr>
                <w:rFonts w:ascii="Times New Roman" w:hAnsi="Times New Roman" w:eastAsia="黑体"/>
                <w:color w:val="auto"/>
                <w:kern w:val="2"/>
                <w:sz w:val="21"/>
                <w:szCs w:val="21"/>
                <w:highlight w:val="none"/>
              </w:rPr>
              <w:t>环境保护措施</w:t>
            </w:r>
            <w:bookmarkEnd w:id="87"/>
          </w:p>
        </w:tc>
        <w:tc>
          <w:tcPr>
            <w:tcW w:w="486" w:type="pct"/>
            <w:vAlign w:val="center"/>
          </w:tcPr>
          <w:p w14:paraId="5A7C3777">
            <w:pPr>
              <w:pStyle w:val="39"/>
              <w:adjustRightInd w:val="0"/>
              <w:snapToGrid w:val="0"/>
              <w:spacing w:before="0" w:beforeAutospacing="0" w:after="0" w:afterAutospacing="0"/>
              <w:jc w:val="center"/>
              <w:rPr>
                <w:rFonts w:ascii="Times New Roman" w:hAnsi="Times New Roman" w:eastAsia="黑体"/>
                <w:color w:val="auto"/>
                <w:kern w:val="2"/>
                <w:sz w:val="21"/>
                <w:szCs w:val="21"/>
                <w:highlight w:val="none"/>
              </w:rPr>
            </w:pPr>
            <w:bookmarkStart w:id="88" w:name="_Toc67329601"/>
            <w:r>
              <w:rPr>
                <w:rFonts w:ascii="Times New Roman" w:hAnsi="Times New Roman" w:eastAsia="黑体"/>
                <w:color w:val="auto"/>
                <w:kern w:val="2"/>
                <w:sz w:val="21"/>
                <w:szCs w:val="21"/>
                <w:highlight w:val="none"/>
              </w:rPr>
              <w:t>验收要求</w:t>
            </w:r>
            <w:bookmarkEnd w:id="88"/>
          </w:p>
        </w:tc>
      </w:tr>
      <w:tr w14:paraId="611696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728" w:type="pct"/>
            <w:vAlign w:val="center"/>
          </w:tcPr>
          <w:p w14:paraId="4BBBCCEF">
            <w:pPr>
              <w:adjustRightInd w:val="0"/>
              <w:snapToGrid w:val="0"/>
              <w:jc w:val="center"/>
              <w:rPr>
                <w:bCs/>
                <w:color w:val="auto"/>
                <w:szCs w:val="21"/>
                <w:highlight w:val="none"/>
              </w:rPr>
            </w:pPr>
            <w:r>
              <w:rPr>
                <w:bCs/>
                <w:color w:val="auto"/>
                <w:szCs w:val="21"/>
                <w:highlight w:val="none"/>
              </w:rPr>
              <w:t>陆生生态</w:t>
            </w:r>
          </w:p>
        </w:tc>
        <w:tc>
          <w:tcPr>
            <w:tcW w:w="1826" w:type="pct"/>
            <w:vAlign w:val="center"/>
          </w:tcPr>
          <w:p w14:paraId="155B3999">
            <w:pPr>
              <w:adjustRightInd w:val="0"/>
              <w:snapToGrid w:val="0"/>
              <w:rPr>
                <w:rFonts w:hint="eastAsia"/>
                <w:bCs/>
                <w:color w:val="auto"/>
                <w:szCs w:val="21"/>
                <w:highlight w:val="none"/>
              </w:rPr>
            </w:pPr>
            <w:r>
              <w:rPr>
                <w:rFonts w:hint="eastAsia"/>
                <w:bCs/>
                <w:color w:val="auto"/>
                <w:szCs w:val="21"/>
                <w:highlight w:val="none"/>
              </w:rPr>
              <w:t>（1）避让措施</w:t>
            </w:r>
          </w:p>
          <w:p w14:paraId="149AE271">
            <w:pPr>
              <w:adjustRightInd w:val="0"/>
              <w:snapToGrid w:val="0"/>
              <w:rPr>
                <w:rFonts w:hint="eastAsia"/>
                <w:bCs/>
                <w:color w:val="auto"/>
                <w:szCs w:val="21"/>
                <w:highlight w:val="none"/>
              </w:rPr>
            </w:pPr>
            <w:r>
              <w:rPr>
                <w:rFonts w:hint="eastAsia"/>
                <w:bCs/>
                <w:color w:val="auto"/>
                <w:szCs w:val="21"/>
                <w:highlight w:val="none"/>
              </w:rPr>
              <w:t>合理规划施工临时道路、展放场等临时场地，合理划定施工范围和人员、车辆的行走路线，避免对施工范围之外区域的动植物造成碾压和破坏。</w:t>
            </w:r>
          </w:p>
          <w:p w14:paraId="42837591">
            <w:pPr>
              <w:adjustRightInd w:val="0"/>
              <w:snapToGrid w:val="0"/>
              <w:rPr>
                <w:rFonts w:hint="eastAsia"/>
                <w:bCs/>
                <w:color w:val="auto"/>
                <w:szCs w:val="21"/>
                <w:highlight w:val="none"/>
              </w:rPr>
            </w:pPr>
            <w:r>
              <w:rPr>
                <w:rFonts w:hint="eastAsia"/>
                <w:bCs/>
                <w:color w:val="auto"/>
                <w:szCs w:val="21"/>
                <w:highlight w:val="none"/>
              </w:rPr>
              <w:t>（2）减缓措施</w:t>
            </w:r>
          </w:p>
          <w:p w14:paraId="58C0FFFA">
            <w:pPr>
              <w:adjustRightInd w:val="0"/>
              <w:snapToGrid w:val="0"/>
              <w:rPr>
                <w:rFonts w:hint="eastAsia"/>
                <w:bCs/>
                <w:color w:val="auto"/>
                <w:szCs w:val="21"/>
                <w:highlight w:val="none"/>
              </w:rPr>
            </w:pPr>
            <w:r>
              <w:rPr>
                <w:rFonts w:hint="eastAsia"/>
                <w:bCs/>
                <w:color w:val="auto"/>
                <w:szCs w:val="21"/>
                <w:highlight w:val="none"/>
              </w:rPr>
              <w:t>①基础开挖临时堆土应采用临时拦挡措施，用密目网覆盖，回填多余土石方选择合适地点堆放，并采取措施进行防护。</w:t>
            </w:r>
          </w:p>
          <w:p w14:paraId="674C7294">
            <w:pPr>
              <w:adjustRightInd w:val="0"/>
              <w:snapToGrid w:val="0"/>
              <w:rPr>
                <w:rFonts w:hint="eastAsia"/>
                <w:bCs/>
                <w:color w:val="auto"/>
                <w:szCs w:val="21"/>
                <w:highlight w:val="none"/>
              </w:rPr>
            </w:pPr>
            <w:r>
              <w:rPr>
                <w:rFonts w:hint="eastAsia"/>
                <w:bCs/>
                <w:color w:val="auto"/>
                <w:szCs w:val="21"/>
                <w:highlight w:val="none"/>
              </w:rPr>
              <w:t>②严格控制施工占地，合理安排施工工序和施工场地。电缆线路工程临时占地优先利用既有市政道路空地，减少植被破坏。</w:t>
            </w:r>
          </w:p>
          <w:p w14:paraId="5E6CE992">
            <w:pPr>
              <w:adjustRightInd w:val="0"/>
              <w:snapToGrid w:val="0"/>
              <w:rPr>
                <w:rFonts w:hint="eastAsia"/>
                <w:bCs/>
                <w:color w:val="auto"/>
                <w:szCs w:val="21"/>
                <w:highlight w:val="none"/>
              </w:rPr>
            </w:pPr>
            <w:r>
              <w:rPr>
                <w:rFonts w:hint="eastAsia"/>
                <w:bCs/>
                <w:color w:val="auto"/>
                <w:szCs w:val="21"/>
                <w:highlight w:val="none"/>
              </w:rPr>
              <w:t>（3）恢复与补偿措施</w:t>
            </w:r>
          </w:p>
          <w:p w14:paraId="35BA5F8B">
            <w:pPr>
              <w:adjustRightInd w:val="0"/>
              <w:snapToGrid w:val="0"/>
              <w:rPr>
                <w:bCs/>
                <w:color w:val="auto"/>
                <w:szCs w:val="21"/>
                <w:highlight w:val="none"/>
              </w:rPr>
            </w:pPr>
            <w:r>
              <w:rPr>
                <w:rFonts w:hint="eastAsia"/>
                <w:bCs/>
                <w:color w:val="auto"/>
                <w:szCs w:val="21"/>
                <w:highlight w:val="none"/>
              </w:rPr>
              <w:t>施工结束后临时占地应及时进行清理、松土、覆盖表层土，除复耕外对于立地条件较好的临时占地区域植被恢复尽可能利用植被自然更新，对确需进入人工播撒草籽进行植被恢复的区域，选择当地的乡土植物进行植被恢复，严禁引入外来物种。</w:t>
            </w:r>
          </w:p>
        </w:tc>
        <w:tc>
          <w:tcPr>
            <w:tcW w:w="803" w:type="pct"/>
            <w:vAlign w:val="center"/>
          </w:tcPr>
          <w:p w14:paraId="1AE295DE">
            <w:pPr>
              <w:adjustRightInd w:val="0"/>
              <w:snapToGrid w:val="0"/>
              <w:rPr>
                <w:bCs/>
                <w:color w:val="auto"/>
                <w:szCs w:val="21"/>
                <w:highlight w:val="none"/>
              </w:rPr>
            </w:pPr>
            <w:r>
              <w:rPr>
                <w:rFonts w:hint="eastAsia"/>
                <w:bCs/>
                <w:color w:val="auto"/>
                <w:szCs w:val="21"/>
                <w:highlight w:val="none"/>
              </w:rPr>
              <w:t>施工期的各项陆生生态环境保护措施应按照环境影响评价文件及批复要求落实到位。</w:t>
            </w:r>
          </w:p>
          <w:p w14:paraId="019C2DCF">
            <w:pPr>
              <w:adjustRightInd w:val="0"/>
              <w:snapToGrid w:val="0"/>
              <w:rPr>
                <w:bCs/>
                <w:color w:val="auto"/>
                <w:szCs w:val="21"/>
                <w:highlight w:val="none"/>
              </w:rPr>
            </w:pPr>
            <w:r>
              <w:rPr>
                <w:rFonts w:hint="eastAsia"/>
                <w:bCs/>
                <w:color w:val="auto"/>
                <w:szCs w:val="21"/>
                <w:highlight w:val="none"/>
              </w:rPr>
              <w:t>严格控制施工</w:t>
            </w:r>
            <w:r>
              <w:rPr>
                <w:rFonts w:hint="eastAsia"/>
                <w:bCs/>
                <w:color w:val="auto"/>
                <w:szCs w:val="21"/>
                <w:highlight w:val="none"/>
                <w:lang w:val="en-US" w:eastAsia="zh-CN"/>
              </w:rPr>
              <w:t>占地</w:t>
            </w:r>
            <w:r>
              <w:rPr>
                <w:rFonts w:hint="eastAsia"/>
                <w:bCs/>
                <w:color w:val="auto"/>
                <w:szCs w:val="21"/>
                <w:highlight w:val="none"/>
              </w:rPr>
              <w:t>并设置围挡；</w:t>
            </w:r>
            <w:r>
              <w:rPr>
                <w:rFonts w:hint="eastAsia"/>
                <w:bCs/>
                <w:color w:val="auto"/>
                <w:szCs w:val="21"/>
                <w:highlight w:val="none"/>
                <w:lang w:val="en-US" w:eastAsia="zh-CN"/>
              </w:rPr>
              <w:t>开挖占地</w:t>
            </w:r>
            <w:r>
              <w:rPr>
                <w:rFonts w:hint="eastAsia"/>
                <w:bCs/>
                <w:color w:val="auto"/>
                <w:szCs w:val="21"/>
                <w:highlight w:val="none"/>
              </w:rPr>
              <w:t>进行表土剥离并做好覆盖、拦挡等防护措施；临时堆土区和材料堆场采用彩条布铺衬，临时堆土四周采取拦挡措施，堆土表面采用苫布进行覆盖；保留相应的证明材料及影像记录。</w:t>
            </w:r>
          </w:p>
          <w:p w14:paraId="5F960E9A">
            <w:pPr>
              <w:adjustRightInd w:val="0"/>
              <w:snapToGrid w:val="0"/>
              <w:rPr>
                <w:bCs/>
                <w:color w:val="auto"/>
                <w:szCs w:val="21"/>
                <w:highlight w:val="none"/>
              </w:rPr>
            </w:pPr>
            <w:r>
              <w:rPr>
                <w:rFonts w:hint="eastAsia"/>
                <w:bCs/>
                <w:color w:val="auto"/>
                <w:szCs w:val="21"/>
                <w:highlight w:val="none"/>
              </w:rPr>
              <w:t>施工结束后对临时占地进行清理并采取复垦或植被恢复等措施。</w:t>
            </w:r>
          </w:p>
        </w:tc>
        <w:tc>
          <w:tcPr>
            <w:tcW w:w="1154" w:type="pct"/>
            <w:vAlign w:val="center"/>
          </w:tcPr>
          <w:p w14:paraId="1C1C148B">
            <w:pPr>
              <w:adjustRightInd w:val="0"/>
              <w:snapToGrid w:val="0"/>
              <w:jc w:val="both"/>
              <w:rPr>
                <w:rFonts w:hint="eastAsia"/>
                <w:bCs/>
                <w:color w:val="auto"/>
                <w:szCs w:val="21"/>
                <w:highlight w:val="none"/>
              </w:rPr>
            </w:pPr>
            <w:r>
              <w:rPr>
                <w:rFonts w:hint="eastAsia"/>
                <w:bCs/>
                <w:color w:val="auto"/>
                <w:szCs w:val="21"/>
                <w:highlight w:val="none"/>
              </w:rPr>
              <w:t>（1）强化对设备检修维护人员的生态保护意识教育，加强管理，禁止滥采滥伐和捕猎野生动物，避免因此导致的沿线自然植被破坏和野生动物的影响；</w:t>
            </w:r>
          </w:p>
          <w:p w14:paraId="5258AECA">
            <w:pPr>
              <w:adjustRightInd w:val="0"/>
              <w:snapToGrid w:val="0"/>
              <w:jc w:val="both"/>
              <w:rPr>
                <w:bCs/>
                <w:color w:val="auto"/>
                <w:szCs w:val="21"/>
                <w:highlight w:val="none"/>
              </w:rPr>
            </w:pPr>
            <w:r>
              <w:rPr>
                <w:rFonts w:hint="eastAsia"/>
                <w:bCs/>
                <w:color w:val="auto"/>
                <w:szCs w:val="21"/>
                <w:highlight w:val="none"/>
              </w:rPr>
              <w:t>（2）定期对线路沿线生态保护和防护措施及设施进行检查，跟踪生态保护与恢复效果，以便及时采取后续措施。</w:t>
            </w:r>
          </w:p>
        </w:tc>
        <w:tc>
          <w:tcPr>
            <w:tcW w:w="486" w:type="pct"/>
            <w:vAlign w:val="center"/>
          </w:tcPr>
          <w:p w14:paraId="27682315">
            <w:pPr>
              <w:adjustRightInd w:val="0"/>
              <w:snapToGrid w:val="0"/>
              <w:rPr>
                <w:bCs/>
                <w:color w:val="auto"/>
                <w:szCs w:val="21"/>
                <w:highlight w:val="none"/>
              </w:rPr>
            </w:pPr>
            <w:r>
              <w:rPr>
                <w:rFonts w:hint="eastAsia"/>
                <w:bCs/>
                <w:color w:val="auto"/>
                <w:szCs w:val="21"/>
                <w:highlight w:val="none"/>
              </w:rPr>
              <w:t>线路沿线植被恢复良好。</w:t>
            </w:r>
          </w:p>
        </w:tc>
      </w:tr>
      <w:tr w14:paraId="3EBE55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728" w:type="pct"/>
            <w:vAlign w:val="center"/>
          </w:tcPr>
          <w:p w14:paraId="3A864344">
            <w:pPr>
              <w:adjustRightInd w:val="0"/>
              <w:snapToGrid w:val="0"/>
              <w:jc w:val="center"/>
              <w:rPr>
                <w:bCs/>
                <w:color w:val="auto"/>
                <w:szCs w:val="21"/>
                <w:highlight w:val="none"/>
              </w:rPr>
            </w:pPr>
            <w:r>
              <w:rPr>
                <w:bCs/>
                <w:color w:val="auto"/>
                <w:szCs w:val="21"/>
                <w:highlight w:val="none"/>
              </w:rPr>
              <w:t>地表水环境</w:t>
            </w:r>
          </w:p>
        </w:tc>
        <w:tc>
          <w:tcPr>
            <w:tcW w:w="1826" w:type="pct"/>
            <w:vAlign w:val="center"/>
          </w:tcPr>
          <w:p w14:paraId="71176FF1">
            <w:pPr>
              <w:adjustRightInd w:val="0"/>
              <w:snapToGrid w:val="0"/>
              <w:rPr>
                <w:rFonts w:hint="eastAsia"/>
                <w:bCs/>
                <w:color w:val="auto"/>
                <w:szCs w:val="21"/>
                <w:highlight w:val="none"/>
              </w:rPr>
            </w:pPr>
            <w:r>
              <w:rPr>
                <w:rFonts w:hint="eastAsia"/>
                <w:bCs/>
                <w:color w:val="auto"/>
                <w:szCs w:val="21"/>
                <w:highlight w:val="none"/>
              </w:rPr>
              <w:t>（1）落实文明施工原则，施工单位要做好施工场地周围的拦挡措施，尽量避免雨天开挖作业。新建变电站在施工场地修建临时沉砂池，施工废水经收集、沉砂、澄清处理后回用，不外排。</w:t>
            </w:r>
          </w:p>
          <w:p w14:paraId="4EAA5D98">
            <w:pPr>
              <w:adjustRightInd w:val="0"/>
              <w:snapToGrid w:val="0"/>
              <w:rPr>
                <w:rFonts w:hint="eastAsia"/>
                <w:bCs/>
                <w:color w:val="auto"/>
                <w:szCs w:val="21"/>
                <w:highlight w:val="none"/>
              </w:rPr>
            </w:pPr>
            <w:r>
              <w:rPr>
                <w:rFonts w:hint="eastAsia"/>
                <w:bCs/>
                <w:color w:val="auto"/>
                <w:szCs w:val="21"/>
                <w:highlight w:val="none"/>
              </w:rPr>
              <w:t>（2）线路施工人员租住周边民房，生活污水依托民房现有设施处理。</w:t>
            </w:r>
          </w:p>
          <w:p w14:paraId="0EBFE904">
            <w:pPr>
              <w:adjustRightInd w:val="0"/>
              <w:snapToGrid w:val="0"/>
              <w:rPr>
                <w:rFonts w:hint="eastAsia"/>
                <w:bCs/>
                <w:color w:val="auto"/>
                <w:szCs w:val="21"/>
                <w:highlight w:val="none"/>
              </w:rPr>
            </w:pPr>
            <w:r>
              <w:rPr>
                <w:rFonts w:hint="eastAsia"/>
                <w:bCs/>
                <w:color w:val="auto"/>
                <w:szCs w:val="21"/>
                <w:highlight w:val="none"/>
              </w:rPr>
              <w:t>（3）禁止向水域排放油类，禁止在水域区域冲洗贮油类车辆，禁止向水域内排放、倾倒废水、垃圾等。</w:t>
            </w:r>
          </w:p>
          <w:p w14:paraId="1182CCD3">
            <w:pPr>
              <w:adjustRightInd w:val="0"/>
              <w:snapToGrid w:val="0"/>
              <w:rPr>
                <w:rFonts w:hint="eastAsia"/>
                <w:bCs/>
                <w:color w:val="auto"/>
                <w:szCs w:val="21"/>
                <w:highlight w:val="none"/>
              </w:rPr>
            </w:pPr>
            <w:r>
              <w:rPr>
                <w:rFonts w:hint="eastAsia"/>
                <w:bCs/>
                <w:color w:val="auto"/>
                <w:szCs w:val="21"/>
                <w:highlight w:val="none"/>
              </w:rPr>
              <w:t>（4）施工人员不得在靠近水域附近搭建临时施工生活设施，严禁施工废水、生活污水、生活垃圾等排入水域，影响水体水质，施工场地尽可能远离河流。</w:t>
            </w:r>
          </w:p>
          <w:p w14:paraId="5D895ECE">
            <w:pPr>
              <w:adjustRightInd w:val="0"/>
              <w:snapToGrid w:val="0"/>
              <w:rPr>
                <w:rFonts w:hint="eastAsia"/>
                <w:bCs/>
                <w:color w:val="auto"/>
                <w:szCs w:val="21"/>
                <w:highlight w:val="none"/>
              </w:rPr>
            </w:pPr>
            <w:r>
              <w:rPr>
                <w:rFonts w:hint="eastAsia"/>
                <w:bCs/>
                <w:color w:val="auto"/>
                <w:szCs w:val="21"/>
                <w:highlight w:val="none"/>
              </w:rPr>
              <w:t>（5）落实文明施工原则，避免雨天开挖作业；</w:t>
            </w:r>
          </w:p>
          <w:p w14:paraId="2BF7C71D">
            <w:pPr>
              <w:adjustRightInd w:val="0"/>
              <w:snapToGrid w:val="0"/>
              <w:rPr>
                <w:bCs/>
                <w:color w:val="auto"/>
                <w:szCs w:val="21"/>
                <w:highlight w:val="none"/>
              </w:rPr>
            </w:pPr>
            <w:r>
              <w:rPr>
                <w:rFonts w:hint="eastAsia"/>
                <w:bCs/>
                <w:color w:val="auto"/>
                <w:szCs w:val="21"/>
                <w:highlight w:val="none"/>
              </w:rPr>
              <w:t>（6）采用商品砼，不在现场搅拌。</w:t>
            </w:r>
          </w:p>
        </w:tc>
        <w:tc>
          <w:tcPr>
            <w:tcW w:w="803" w:type="pct"/>
            <w:vAlign w:val="center"/>
          </w:tcPr>
          <w:p w14:paraId="39DBAD82">
            <w:pPr>
              <w:adjustRightInd w:val="0"/>
              <w:snapToGrid w:val="0"/>
              <w:rPr>
                <w:bCs/>
                <w:color w:val="auto"/>
                <w:szCs w:val="21"/>
                <w:highlight w:val="none"/>
                <w:shd w:val="clear" w:color="auto" w:fill="FFFFFF"/>
              </w:rPr>
            </w:pPr>
            <w:r>
              <w:rPr>
                <w:rFonts w:hint="eastAsia"/>
                <w:bCs/>
                <w:color w:val="auto"/>
                <w:szCs w:val="21"/>
                <w:highlight w:val="none"/>
                <w:shd w:val="clear" w:color="auto" w:fill="FFFFFF"/>
              </w:rPr>
              <w:t>（1）施工废</w:t>
            </w:r>
            <w:r>
              <w:rPr>
                <w:rFonts w:hint="eastAsia"/>
                <w:bCs/>
                <w:color w:val="auto"/>
                <w:szCs w:val="21"/>
                <w:highlight w:val="none"/>
                <w:shd w:val="clear" w:color="auto" w:fill="FFFFFF"/>
                <w:lang w:val="en-US" w:eastAsia="zh-CN"/>
              </w:rPr>
              <w:t>水</w:t>
            </w:r>
            <w:r>
              <w:rPr>
                <w:rFonts w:hint="eastAsia"/>
                <w:bCs/>
                <w:color w:val="auto"/>
                <w:szCs w:val="21"/>
                <w:highlight w:val="none"/>
                <w:shd w:val="clear" w:color="auto" w:fill="FFFFFF"/>
              </w:rPr>
              <w:t>不外排，对水环境无影响，无扰民纠纷和投诉现象发生。</w:t>
            </w:r>
          </w:p>
          <w:p w14:paraId="3B9C1C3C">
            <w:pPr>
              <w:adjustRightInd w:val="0"/>
              <w:snapToGrid w:val="0"/>
              <w:rPr>
                <w:bCs/>
                <w:color w:val="auto"/>
                <w:szCs w:val="21"/>
                <w:highlight w:val="none"/>
                <w:shd w:val="clear" w:color="auto" w:fill="FFFFFF"/>
              </w:rPr>
            </w:pPr>
            <w:r>
              <w:rPr>
                <w:rFonts w:hint="eastAsia"/>
                <w:bCs/>
                <w:color w:val="auto"/>
                <w:szCs w:val="21"/>
                <w:highlight w:val="none"/>
                <w:shd w:val="clear" w:color="auto" w:fill="FFFFFF"/>
              </w:rPr>
              <w:t>（2）线路工程未在河流、水库等水域中立塔。</w:t>
            </w:r>
          </w:p>
          <w:p w14:paraId="75FBD7C2">
            <w:pPr>
              <w:adjustRightInd w:val="0"/>
              <w:snapToGrid w:val="0"/>
              <w:rPr>
                <w:bCs/>
                <w:color w:val="auto"/>
                <w:szCs w:val="21"/>
                <w:highlight w:val="none"/>
              </w:rPr>
            </w:pPr>
            <w:r>
              <w:rPr>
                <w:rFonts w:hint="eastAsia"/>
                <w:bCs/>
                <w:color w:val="auto"/>
                <w:szCs w:val="21"/>
                <w:highlight w:val="none"/>
                <w:shd w:val="clear" w:color="auto" w:fill="FFFFFF"/>
              </w:rPr>
              <w:t>（3）施工场地料场四周修建截水排水沟并设置沉沙池和拦砂网；保留相应的证明材料及影像记录。</w:t>
            </w:r>
          </w:p>
        </w:tc>
        <w:tc>
          <w:tcPr>
            <w:tcW w:w="1154" w:type="pct"/>
            <w:vAlign w:val="center"/>
          </w:tcPr>
          <w:p w14:paraId="7FA9C131">
            <w:pPr>
              <w:adjustRightInd w:val="0"/>
              <w:snapToGrid w:val="0"/>
              <w:rPr>
                <w:rFonts w:hint="eastAsia"/>
                <w:color w:val="auto"/>
                <w:highlight w:val="none"/>
              </w:rPr>
            </w:pPr>
            <w:r>
              <w:rPr>
                <w:rFonts w:hint="eastAsia"/>
                <w:color w:val="auto"/>
                <w:highlight w:val="none"/>
              </w:rPr>
              <w:t>线路运维人员定期巡线过程中，应避免在地表水体附近随意丢弃废弃物，防止对水质产生影响。</w:t>
            </w:r>
          </w:p>
        </w:tc>
        <w:tc>
          <w:tcPr>
            <w:tcW w:w="486" w:type="pct"/>
            <w:vAlign w:val="center"/>
          </w:tcPr>
          <w:p w14:paraId="707E7794">
            <w:pPr>
              <w:adjustRightInd w:val="0"/>
              <w:snapToGrid w:val="0"/>
              <w:jc w:val="left"/>
              <w:rPr>
                <w:bCs/>
                <w:color w:val="auto"/>
                <w:szCs w:val="21"/>
                <w:highlight w:val="none"/>
              </w:rPr>
            </w:pPr>
            <w:r>
              <w:rPr>
                <w:rFonts w:hint="eastAsia"/>
                <w:bCs/>
                <w:color w:val="auto"/>
                <w:szCs w:val="21"/>
                <w:highlight w:val="none"/>
              </w:rPr>
              <w:t>运维人员巡线过程中对水环境无影响。</w:t>
            </w:r>
          </w:p>
        </w:tc>
      </w:tr>
      <w:tr w14:paraId="42A2CE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728" w:type="pct"/>
            <w:vAlign w:val="center"/>
          </w:tcPr>
          <w:p w14:paraId="26F3A4B1">
            <w:pPr>
              <w:adjustRightInd w:val="0"/>
              <w:snapToGrid w:val="0"/>
              <w:jc w:val="center"/>
              <w:rPr>
                <w:bCs/>
                <w:color w:val="auto"/>
                <w:szCs w:val="21"/>
                <w:highlight w:val="none"/>
              </w:rPr>
            </w:pPr>
            <w:r>
              <w:rPr>
                <w:bCs/>
                <w:color w:val="auto"/>
                <w:szCs w:val="21"/>
                <w:highlight w:val="none"/>
              </w:rPr>
              <w:t>地下水及土壤环境</w:t>
            </w:r>
          </w:p>
        </w:tc>
        <w:tc>
          <w:tcPr>
            <w:tcW w:w="1826" w:type="pct"/>
            <w:vAlign w:val="center"/>
          </w:tcPr>
          <w:p w14:paraId="6C01DF3C">
            <w:pPr>
              <w:adjustRightInd w:val="0"/>
              <w:snapToGrid w:val="0"/>
              <w:jc w:val="center"/>
              <w:rPr>
                <w:bCs/>
                <w:color w:val="auto"/>
                <w:szCs w:val="21"/>
                <w:highlight w:val="none"/>
              </w:rPr>
            </w:pPr>
            <w:r>
              <w:rPr>
                <w:rFonts w:hint="eastAsia"/>
                <w:bCs/>
                <w:color w:val="auto"/>
                <w:szCs w:val="21"/>
                <w:highlight w:val="none"/>
              </w:rPr>
              <w:t>无</w:t>
            </w:r>
          </w:p>
        </w:tc>
        <w:tc>
          <w:tcPr>
            <w:tcW w:w="803" w:type="pct"/>
            <w:vAlign w:val="center"/>
          </w:tcPr>
          <w:p w14:paraId="1EDDDED6">
            <w:pPr>
              <w:adjustRightInd w:val="0"/>
              <w:snapToGrid w:val="0"/>
              <w:jc w:val="center"/>
              <w:rPr>
                <w:bCs/>
                <w:color w:val="auto"/>
                <w:szCs w:val="21"/>
                <w:highlight w:val="none"/>
              </w:rPr>
            </w:pPr>
            <w:r>
              <w:rPr>
                <w:rFonts w:hint="eastAsia"/>
                <w:bCs/>
                <w:color w:val="auto"/>
                <w:szCs w:val="21"/>
                <w:highlight w:val="none"/>
              </w:rPr>
              <w:t>无</w:t>
            </w:r>
          </w:p>
        </w:tc>
        <w:tc>
          <w:tcPr>
            <w:tcW w:w="1154" w:type="pct"/>
            <w:vAlign w:val="center"/>
          </w:tcPr>
          <w:p w14:paraId="40BA69B8">
            <w:pPr>
              <w:adjustRightInd w:val="0"/>
              <w:snapToGrid w:val="0"/>
              <w:jc w:val="center"/>
              <w:rPr>
                <w:bCs/>
                <w:color w:val="auto"/>
                <w:szCs w:val="21"/>
                <w:highlight w:val="none"/>
              </w:rPr>
            </w:pPr>
            <w:r>
              <w:rPr>
                <w:rFonts w:hint="eastAsia"/>
                <w:bCs/>
                <w:color w:val="auto"/>
                <w:szCs w:val="21"/>
                <w:highlight w:val="none"/>
              </w:rPr>
              <w:t>无</w:t>
            </w:r>
          </w:p>
        </w:tc>
        <w:tc>
          <w:tcPr>
            <w:tcW w:w="486" w:type="pct"/>
            <w:vAlign w:val="center"/>
          </w:tcPr>
          <w:p w14:paraId="4A76979A">
            <w:pPr>
              <w:adjustRightInd w:val="0"/>
              <w:snapToGrid w:val="0"/>
              <w:jc w:val="center"/>
              <w:rPr>
                <w:bCs/>
                <w:color w:val="auto"/>
                <w:szCs w:val="21"/>
                <w:highlight w:val="none"/>
              </w:rPr>
            </w:pPr>
            <w:r>
              <w:rPr>
                <w:rFonts w:hint="eastAsia"/>
                <w:bCs/>
                <w:color w:val="auto"/>
                <w:szCs w:val="21"/>
                <w:highlight w:val="none"/>
              </w:rPr>
              <w:t>无</w:t>
            </w:r>
          </w:p>
        </w:tc>
      </w:tr>
      <w:tr w14:paraId="206360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728" w:type="pct"/>
            <w:vAlign w:val="center"/>
          </w:tcPr>
          <w:p w14:paraId="7AC6CFA3">
            <w:pPr>
              <w:adjustRightInd w:val="0"/>
              <w:snapToGrid w:val="0"/>
              <w:jc w:val="center"/>
              <w:rPr>
                <w:bCs/>
                <w:color w:val="auto"/>
                <w:szCs w:val="21"/>
                <w:highlight w:val="none"/>
              </w:rPr>
            </w:pPr>
            <w:r>
              <w:rPr>
                <w:bCs/>
                <w:color w:val="auto"/>
                <w:szCs w:val="21"/>
                <w:highlight w:val="none"/>
              </w:rPr>
              <w:t>声环境</w:t>
            </w:r>
          </w:p>
        </w:tc>
        <w:tc>
          <w:tcPr>
            <w:tcW w:w="1826" w:type="pct"/>
            <w:vAlign w:val="center"/>
          </w:tcPr>
          <w:p w14:paraId="76F36167">
            <w:pPr>
              <w:adjustRightInd w:val="0"/>
              <w:snapToGrid w:val="0"/>
              <w:rPr>
                <w:rFonts w:hint="eastAsia"/>
                <w:bCs/>
                <w:color w:val="auto"/>
                <w:szCs w:val="21"/>
                <w:highlight w:val="none"/>
              </w:rPr>
            </w:pPr>
            <w:r>
              <w:rPr>
                <w:rFonts w:hint="eastAsia"/>
                <w:bCs/>
                <w:color w:val="auto"/>
                <w:szCs w:val="21"/>
                <w:highlight w:val="none"/>
              </w:rPr>
              <w:t>（1）施工单位按照规定制定噪声污染防治实施方案，采取合理安排施工时间、使用低噪声施工设备等噪声防治措施，减少振动，降低噪声，建设单位应当监督施工单位落实噪声污染防治实施方案。</w:t>
            </w:r>
          </w:p>
          <w:p w14:paraId="35B26843">
            <w:pPr>
              <w:adjustRightInd w:val="0"/>
              <w:snapToGrid w:val="0"/>
              <w:rPr>
                <w:rFonts w:hint="eastAsia"/>
                <w:bCs/>
                <w:color w:val="auto"/>
                <w:szCs w:val="21"/>
                <w:highlight w:val="none"/>
              </w:rPr>
            </w:pPr>
            <w:r>
              <w:rPr>
                <w:rFonts w:hint="eastAsia"/>
                <w:bCs/>
                <w:color w:val="auto"/>
                <w:szCs w:val="21"/>
                <w:highlight w:val="none"/>
              </w:rPr>
              <w:t>（2）施工点分散，每个点施工量小，施工期短，且集中在昼间进行，不影响沿线居民正常休息。</w:t>
            </w:r>
          </w:p>
          <w:p w14:paraId="6BC35C48">
            <w:pPr>
              <w:adjustRightInd w:val="0"/>
              <w:snapToGrid w:val="0"/>
              <w:rPr>
                <w:rFonts w:hint="eastAsia"/>
                <w:bCs/>
                <w:color w:val="auto"/>
                <w:szCs w:val="21"/>
                <w:highlight w:val="none"/>
              </w:rPr>
            </w:pPr>
            <w:r>
              <w:rPr>
                <w:rFonts w:hint="eastAsia"/>
                <w:bCs/>
                <w:color w:val="auto"/>
                <w:szCs w:val="21"/>
                <w:highlight w:val="none"/>
              </w:rPr>
              <w:t>（3）在设备选型时选取《低噪声施工设备指导名录（2024年版）》中所列低噪声设备，同时加强施工机械和运输车辆的保养，减小机械故障产生的噪声。</w:t>
            </w:r>
          </w:p>
          <w:p w14:paraId="0C454E69">
            <w:pPr>
              <w:adjustRightInd w:val="0"/>
              <w:snapToGrid w:val="0"/>
              <w:rPr>
                <w:rFonts w:hint="eastAsia"/>
                <w:bCs/>
                <w:color w:val="auto"/>
                <w:szCs w:val="21"/>
                <w:highlight w:val="none"/>
              </w:rPr>
            </w:pPr>
            <w:r>
              <w:rPr>
                <w:rFonts w:hint="eastAsia"/>
                <w:bCs/>
                <w:color w:val="auto"/>
                <w:szCs w:val="21"/>
                <w:highlight w:val="none"/>
              </w:rPr>
              <w:t>（4）在噪声敏感建筑物集中区域依法禁止夜间（22:00~6:00）施工，站区施工均应安排在昼间进行。如因生产工艺要求或者其他特殊需要必须连续施工作业的，需在夜间施工而产生环境噪声污染时，应按《中华人民共和国环境噪声污染防治法》的规定，取得地方人民政府住房与城乡建设、生态环境主管部门或者地方人民政府指定部门的证明，并在施工现场显著位置公示或者以其他方式公告附近居民。</w:t>
            </w:r>
          </w:p>
          <w:p w14:paraId="2EF8ABA3">
            <w:pPr>
              <w:adjustRightInd w:val="0"/>
              <w:snapToGrid w:val="0"/>
              <w:rPr>
                <w:rFonts w:hint="eastAsia"/>
                <w:bCs/>
                <w:color w:val="auto"/>
                <w:szCs w:val="21"/>
                <w:highlight w:val="none"/>
              </w:rPr>
            </w:pPr>
            <w:r>
              <w:rPr>
                <w:rFonts w:hint="eastAsia"/>
                <w:bCs/>
                <w:color w:val="auto"/>
                <w:szCs w:val="21"/>
                <w:highlight w:val="none"/>
              </w:rPr>
              <w:t>（5）电缆线路施工时合理安排施工区域，合理布置施工场地，施工场地应采取围挡，减小施工噪声对周边声环境的影响。</w:t>
            </w:r>
          </w:p>
        </w:tc>
        <w:tc>
          <w:tcPr>
            <w:tcW w:w="803" w:type="pct"/>
            <w:vAlign w:val="center"/>
          </w:tcPr>
          <w:p w14:paraId="555E286D">
            <w:pPr>
              <w:adjustRightInd w:val="0"/>
              <w:snapToGrid w:val="0"/>
              <w:rPr>
                <w:bCs/>
                <w:color w:val="auto"/>
                <w:szCs w:val="21"/>
                <w:highlight w:val="none"/>
              </w:rPr>
            </w:pPr>
            <w:r>
              <w:rPr>
                <w:rFonts w:hint="eastAsia"/>
                <w:bCs/>
                <w:color w:val="auto"/>
                <w:szCs w:val="21"/>
                <w:highlight w:val="none"/>
              </w:rPr>
              <w:t>施工期的各项声环境保护措施应按照环境影响评价文件及批复要求落实到位。</w:t>
            </w:r>
          </w:p>
          <w:p w14:paraId="1841CEE4">
            <w:pPr>
              <w:adjustRightInd w:val="0"/>
              <w:snapToGrid w:val="0"/>
              <w:rPr>
                <w:bCs/>
                <w:color w:val="auto"/>
                <w:szCs w:val="21"/>
                <w:highlight w:val="none"/>
              </w:rPr>
            </w:pPr>
            <w:r>
              <w:rPr>
                <w:rFonts w:hint="eastAsia"/>
                <w:bCs/>
                <w:color w:val="auto"/>
                <w:szCs w:val="21"/>
                <w:highlight w:val="none"/>
              </w:rPr>
              <w:t>施工场地周围先建设围墙，施工车辆经过居民区时减缓行驶速度并减少鸣笛，优选低噪声施工设备，合理安排施工时间，不产生噪声扰民现象。</w:t>
            </w:r>
          </w:p>
        </w:tc>
        <w:tc>
          <w:tcPr>
            <w:tcW w:w="1154" w:type="pct"/>
            <w:vAlign w:val="center"/>
          </w:tcPr>
          <w:p w14:paraId="2FAACCE2">
            <w:pPr>
              <w:adjustRightInd w:val="0"/>
              <w:snapToGrid w:val="0"/>
              <w:jc w:val="center"/>
              <w:rPr>
                <w:bCs/>
                <w:color w:val="auto"/>
                <w:szCs w:val="21"/>
                <w:highlight w:val="none"/>
              </w:rPr>
            </w:pPr>
            <w:r>
              <w:rPr>
                <w:rFonts w:hint="eastAsia"/>
                <w:bCs/>
                <w:color w:val="auto"/>
                <w:szCs w:val="21"/>
                <w:highlight w:val="none"/>
              </w:rPr>
              <w:t>无</w:t>
            </w:r>
          </w:p>
        </w:tc>
        <w:tc>
          <w:tcPr>
            <w:tcW w:w="486" w:type="pct"/>
            <w:vAlign w:val="center"/>
          </w:tcPr>
          <w:p w14:paraId="4682BB97">
            <w:pPr>
              <w:adjustRightInd w:val="0"/>
              <w:snapToGrid w:val="0"/>
              <w:jc w:val="center"/>
              <w:rPr>
                <w:bCs/>
                <w:color w:val="auto"/>
                <w:szCs w:val="21"/>
                <w:highlight w:val="none"/>
              </w:rPr>
            </w:pPr>
            <w:r>
              <w:rPr>
                <w:rFonts w:hint="eastAsia"/>
                <w:bCs/>
                <w:color w:val="auto"/>
                <w:szCs w:val="21"/>
                <w:highlight w:val="none"/>
              </w:rPr>
              <w:t>无</w:t>
            </w:r>
          </w:p>
        </w:tc>
      </w:tr>
      <w:tr w14:paraId="5AA72C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728" w:type="pct"/>
            <w:vAlign w:val="center"/>
          </w:tcPr>
          <w:p w14:paraId="07451497">
            <w:pPr>
              <w:adjustRightInd w:val="0"/>
              <w:snapToGrid w:val="0"/>
              <w:jc w:val="center"/>
              <w:rPr>
                <w:bCs/>
                <w:color w:val="auto"/>
                <w:szCs w:val="21"/>
                <w:highlight w:val="none"/>
              </w:rPr>
            </w:pPr>
            <w:r>
              <w:rPr>
                <w:rFonts w:hint="eastAsia"/>
                <w:bCs/>
                <w:color w:val="auto"/>
                <w:szCs w:val="21"/>
                <w:highlight w:val="none"/>
              </w:rPr>
              <w:t>施工扬尘</w:t>
            </w:r>
          </w:p>
        </w:tc>
        <w:tc>
          <w:tcPr>
            <w:tcW w:w="1826" w:type="pct"/>
            <w:vAlign w:val="center"/>
          </w:tcPr>
          <w:p w14:paraId="7511CE8D">
            <w:pPr>
              <w:adjustRightInd w:val="0"/>
              <w:snapToGrid w:val="0"/>
              <w:rPr>
                <w:rFonts w:hint="eastAsia" w:eastAsia="宋体"/>
                <w:bCs/>
                <w:color w:val="auto"/>
                <w:szCs w:val="21"/>
                <w:highlight w:val="none"/>
                <w:lang w:eastAsia="zh-CN"/>
              </w:rPr>
            </w:pPr>
            <w:r>
              <w:rPr>
                <w:rFonts w:hint="eastAsia" w:eastAsia="宋体"/>
                <w:bCs/>
                <w:color w:val="auto"/>
                <w:szCs w:val="21"/>
                <w:highlight w:val="none"/>
                <w:lang w:eastAsia="zh-CN"/>
              </w:rPr>
              <w:t>（1）位于居民点附近施工工地周围设置硬质、连续的密闭围挡，不具备条件设置的，应当采取其他有效的防尘措施；</w:t>
            </w:r>
          </w:p>
          <w:p w14:paraId="3B05279B">
            <w:pPr>
              <w:adjustRightInd w:val="0"/>
              <w:snapToGrid w:val="0"/>
              <w:rPr>
                <w:rFonts w:hint="eastAsia" w:eastAsia="宋体"/>
                <w:bCs/>
                <w:color w:val="auto"/>
                <w:szCs w:val="21"/>
                <w:highlight w:val="none"/>
                <w:lang w:eastAsia="zh-CN"/>
              </w:rPr>
            </w:pPr>
            <w:r>
              <w:rPr>
                <w:rFonts w:hint="eastAsia" w:eastAsia="宋体"/>
                <w:bCs/>
                <w:color w:val="auto"/>
                <w:szCs w:val="21"/>
                <w:highlight w:val="none"/>
                <w:lang w:eastAsia="zh-CN"/>
              </w:rPr>
              <w:t>（2）对施工现场的车辆出入口、场内主要道路和物料堆放场地进行硬化，并辅以喷淋、洒水、冲洗等抑尘措施对其他裸露场地进行覆盖或者临时绿化；</w:t>
            </w:r>
          </w:p>
          <w:p w14:paraId="6E006EFC">
            <w:pPr>
              <w:adjustRightInd w:val="0"/>
              <w:snapToGrid w:val="0"/>
              <w:rPr>
                <w:rFonts w:hint="eastAsia" w:eastAsia="宋体"/>
                <w:bCs/>
                <w:color w:val="auto"/>
                <w:szCs w:val="21"/>
                <w:highlight w:val="none"/>
                <w:lang w:eastAsia="zh-CN"/>
              </w:rPr>
            </w:pPr>
            <w:r>
              <w:rPr>
                <w:rFonts w:hint="eastAsia" w:eastAsia="宋体"/>
                <w:bCs/>
                <w:color w:val="auto"/>
                <w:szCs w:val="21"/>
                <w:highlight w:val="none"/>
                <w:lang w:eastAsia="zh-CN"/>
              </w:rPr>
              <w:t>（3）实施土石方、基础施工、材料切割等易产生扬尘的作业时，采取持续加压喷淋或者其他措施抑制扬尘产生；</w:t>
            </w:r>
          </w:p>
          <w:p w14:paraId="587AFF7E">
            <w:pPr>
              <w:adjustRightInd w:val="0"/>
              <w:snapToGrid w:val="0"/>
              <w:rPr>
                <w:rFonts w:hint="eastAsia" w:eastAsia="宋体"/>
                <w:bCs/>
                <w:color w:val="auto"/>
                <w:szCs w:val="21"/>
                <w:highlight w:val="none"/>
                <w:lang w:eastAsia="zh-CN"/>
              </w:rPr>
            </w:pPr>
            <w:r>
              <w:rPr>
                <w:rFonts w:hint="eastAsia" w:eastAsia="宋体"/>
                <w:bCs/>
                <w:color w:val="auto"/>
                <w:szCs w:val="21"/>
                <w:highlight w:val="none"/>
                <w:lang w:eastAsia="zh-CN"/>
              </w:rPr>
              <w:t>（4）水泥和其他易飞扬的细颗粒建筑材料密闭存放或者采取覆盖等措施；</w:t>
            </w:r>
          </w:p>
          <w:p w14:paraId="0E5906EB">
            <w:pPr>
              <w:adjustRightInd w:val="0"/>
              <w:snapToGrid w:val="0"/>
              <w:rPr>
                <w:rFonts w:hint="eastAsia" w:eastAsia="宋体"/>
                <w:bCs/>
                <w:color w:val="auto"/>
                <w:szCs w:val="21"/>
                <w:highlight w:val="none"/>
                <w:lang w:eastAsia="zh-CN"/>
              </w:rPr>
            </w:pPr>
            <w:r>
              <w:rPr>
                <w:rFonts w:hint="eastAsia" w:eastAsia="宋体"/>
                <w:bCs/>
                <w:color w:val="auto"/>
                <w:szCs w:val="21"/>
                <w:highlight w:val="none"/>
                <w:lang w:eastAsia="zh-CN"/>
              </w:rPr>
              <w:t>（5）施工现场当采取洒水等抑尘措施，位于已建道路基础开挖等损坏路面应当及时覆盖或者修复；</w:t>
            </w:r>
          </w:p>
          <w:p w14:paraId="6F6EAC9E">
            <w:pPr>
              <w:adjustRightInd w:val="0"/>
              <w:snapToGrid w:val="0"/>
              <w:rPr>
                <w:rFonts w:hint="eastAsia" w:eastAsia="宋体"/>
                <w:bCs/>
                <w:color w:val="auto"/>
                <w:szCs w:val="21"/>
                <w:highlight w:val="none"/>
                <w:lang w:eastAsia="zh-CN"/>
              </w:rPr>
            </w:pPr>
            <w:r>
              <w:rPr>
                <w:rFonts w:hint="eastAsia" w:eastAsia="宋体"/>
                <w:bCs/>
                <w:color w:val="auto"/>
                <w:szCs w:val="21"/>
                <w:highlight w:val="none"/>
                <w:lang w:eastAsia="zh-CN"/>
              </w:rPr>
              <w:t>（6）施工过程中，应当加强对施工现场和物料运输的管理，在施工工地先行设置围挡、喷淋设施，保持道路清洁，管控料堆和渣土堆放，防治扬尘对线路塔基周边的环境保护目标造成影响；</w:t>
            </w:r>
          </w:p>
          <w:p w14:paraId="4CCE4DCB">
            <w:pPr>
              <w:adjustRightInd w:val="0"/>
              <w:snapToGrid w:val="0"/>
              <w:rPr>
                <w:rFonts w:hint="eastAsia" w:eastAsia="宋体"/>
                <w:bCs/>
                <w:color w:val="auto"/>
                <w:szCs w:val="21"/>
                <w:highlight w:val="none"/>
                <w:lang w:eastAsia="zh-CN"/>
              </w:rPr>
            </w:pPr>
            <w:r>
              <w:rPr>
                <w:rFonts w:hint="eastAsia" w:eastAsia="宋体"/>
                <w:bCs/>
                <w:color w:val="auto"/>
                <w:szCs w:val="21"/>
                <w:highlight w:val="none"/>
                <w:lang w:eastAsia="zh-CN"/>
              </w:rPr>
              <w:t>（7）施工过程中，施工材料、等运输车辆应进行封闭，防止遗撒，严禁车辆超载超速，装载物料的高度不得超过车辆挡板；对于线路沿线裸露施工面对施工区域、道路进行洒水、清扫，遇到干旱和大风天气时增加洒水降尘次数；</w:t>
            </w:r>
          </w:p>
          <w:p w14:paraId="250225E1">
            <w:pPr>
              <w:adjustRightInd w:val="0"/>
              <w:snapToGrid w:val="0"/>
              <w:rPr>
                <w:rFonts w:hint="eastAsia" w:eastAsia="宋体"/>
                <w:bCs/>
                <w:color w:val="auto"/>
                <w:szCs w:val="21"/>
                <w:highlight w:val="none"/>
                <w:lang w:eastAsia="zh-CN"/>
              </w:rPr>
            </w:pPr>
            <w:r>
              <w:rPr>
                <w:rFonts w:hint="eastAsia" w:eastAsia="宋体"/>
                <w:bCs/>
                <w:color w:val="auto"/>
                <w:szCs w:val="21"/>
                <w:highlight w:val="none"/>
                <w:lang w:eastAsia="zh-CN"/>
              </w:rPr>
              <w:t>（8）施工现场临时堆放的裸土及其他易起尘物料应使用防尘网进行覆盖；暂时不能开工的建设用地超过三个月的，应当进行绿化、铺装或者遮盖；</w:t>
            </w:r>
          </w:p>
          <w:p w14:paraId="10E93617">
            <w:pPr>
              <w:adjustRightInd w:val="0"/>
              <w:snapToGrid w:val="0"/>
              <w:rPr>
                <w:rFonts w:hint="eastAsia" w:eastAsia="宋体"/>
                <w:bCs/>
                <w:color w:val="auto"/>
                <w:szCs w:val="21"/>
                <w:highlight w:val="none"/>
                <w:lang w:eastAsia="zh-CN"/>
              </w:rPr>
            </w:pPr>
            <w:r>
              <w:rPr>
                <w:rFonts w:hint="eastAsia" w:eastAsia="宋体"/>
                <w:bCs/>
                <w:color w:val="auto"/>
                <w:szCs w:val="21"/>
                <w:highlight w:val="none"/>
                <w:lang w:eastAsia="zh-CN"/>
              </w:rPr>
              <w:t>（9）施工现场禁止将包装物、可燃垃圾等固体废弃物就地焚烧；</w:t>
            </w:r>
          </w:p>
          <w:p w14:paraId="5BF0A979">
            <w:pPr>
              <w:adjustRightInd w:val="0"/>
              <w:snapToGrid w:val="0"/>
              <w:rPr>
                <w:rFonts w:hint="eastAsia" w:eastAsia="宋体"/>
                <w:bCs/>
                <w:color w:val="auto"/>
                <w:szCs w:val="21"/>
                <w:highlight w:val="none"/>
                <w:lang w:eastAsia="zh-CN"/>
              </w:rPr>
            </w:pPr>
            <w:r>
              <w:rPr>
                <w:rFonts w:hint="eastAsia" w:eastAsia="宋体"/>
                <w:bCs/>
                <w:color w:val="auto"/>
                <w:szCs w:val="21"/>
                <w:highlight w:val="none"/>
                <w:lang w:eastAsia="zh-CN"/>
              </w:rPr>
              <w:t>（10）线路施工结束后及时清理场地，并进行植被恢复，避免造成二次扬尘；</w:t>
            </w:r>
          </w:p>
          <w:p w14:paraId="17C0AF1C">
            <w:pPr>
              <w:adjustRightInd w:val="0"/>
              <w:snapToGrid w:val="0"/>
              <w:rPr>
                <w:rFonts w:hint="eastAsia" w:eastAsia="宋体"/>
                <w:bCs/>
                <w:color w:val="auto"/>
                <w:szCs w:val="21"/>
                <w:highlight w:val="none"/>
                <w:lang w:eastAsia="zh-CN"/>
              </w:rPr>
            </w:pPr>
            <w:r>
              <w:rPr>
                <w:rFonts w:hint="eastAsia" w:eastAsia="宋体"/>
                <w:bCs/>
                <w:color w:val="auto"/>
                <w:szCs w:val="21"/>
                <w:highlight w:val="none"/>
                <w:lang w:eastAsia="zh-CN"/>
              </w:rPr>
              <w:t>（11）建设单位应在施工合同中确定扬尘污染防治目标及施工单位扬尘污染防治责任，施工作业人员上岗前，施工单位应组织以国家法律法规、技术规范、管理制度和操作规程为主要内容的扬尘防治入场教育培训和考核等。施工过程中，施工单位应落实施工环境管理责任人，加强施工扬尘防治，积极配合上级生态环境主管部门的监管工作。</w:t>
            </w:r>
          </w:p>
        </w:tc>
        <w:tc>
          <w:tcPr>
            <w:tcW w:w="803" w:type="pct"/>
            <w:vAlign w:val="center"/>
          </w:tcPr>
          <w:p w14:paraId="24E4DF9B">
            <w:pPr>
              <w:adjustRightInd w:val="0"/>
              <w:snapToGrid w:val="0"/>
              <w:rPr>
                <w:bCs/>
                <w:color w:val="auto"/>
                <w:szCs w:val="21"/>
                <w:highlight w:val="none"/>
              </w:rPr>
            </w:pPr>
            <w:r>
              <w:rPr>
                <w:rFonts w:hint="eastAsia"/>
                <w:bCs/>
                <w:color w:val="auto"/>
                <w:szCs w:val="21"/>
                <w:highlight w:val="none"/>
              </w:rPr>
              <w:t>施工期的各项大气环境保护措施应按照环境影响评价文件及批复要求落实到位。</w:t>
            </w:r>
          </w:p>
          <w:p w14:paraId="7B63162C">
            <w:pPr>
              <w:adjustRightInd w:val="0"/>
              <w:snapToGrid w:val="0"/>
              <w:rPr>
                <w:bCs/>
                <w:color w:val="auto"/>
                <w:szCs w:val="21"/>
                <w:highlight w:val="none"/>
              </w:rPr>
            </w:pPr>
            <w:r>
              <w:rPr>
                <w:rFonts w:hint="eastAsia"/>
                <w:bCs/>
                <w:color w:val="auto"/>
                <w:szCs w:val="21"/>
                <w:highlight w:val="none"/>
              </w:rPr>
              <w:t>施工工地设置硬质围挡，对易起尘的临时堆土、运输过程中的土石方等采用密闭式防尘布（网）进行苫盖，施工面集中且有条件的地方采取洒水降尘，对裸露地面进行覆盖，未焚烧包装物、可燃垃圾等固体废弃物。保留相应的证明材料及影像记录。</w:t>
            </w:r>
          </w:p>
        </w:tc>
        <w:tc>
          <w:tcPr>
            <w:tcW w:w="1154" w:type="pct"/>
            <w:vAlign w:val="center"/>
          </w:tcPr>
          <w:p w14:paraId="23568029">
            <w:pPr>
              <w:adjustRightInd w:val="0"/>
              <w:snapToGrid w:val="0"/>
              <w:jc w:val="center"/>
              <w:rPr>
                <w:bCs/>
                <w:color w:val="auto"/>
                <w:szCs w:val="21"/>
                <w:highlight w:val="none"/>
              </w:rPr>
            </w:pPr>
            <w:r>
              <w:rPr>
                <w:rFonts w:hint="eastAsia"/>
                <w:bCs/>
                <w:color w:val="auto"/>
                <w:szCs w:val="21"/>
                <w:highlight w:val="none"/>
              </w:rPr>
              <w:t>无</w:t>
            </w:r>
          </w:p>
        </w:tc>
        <w:tc>
          <w:tcPr>
            <w:tcW w:w="486" w:type="pct"/>
            <w:vAlign w:val="center"/>
          </w:tcPr>
          <w:p w14:paraId="487F6735">
            <w:pPr>
              <w:adjustRightInd w:val="0"/>
              <w:snapToGrid w:val="0"/>
              <w:jc w:val="center"/>
              <w:rPr>
                <w:bCs/>
                <w:color w:val="auto"/>
                <w:szCs w:val="21"/>
                <w:highlight w:val="none"/>
              </w:rPr>
            </w:pPr>
            <w:r>
              <w:rPr>
                <w:rFonts w:hint="eastAsia"/>
                <w:bCs/>
                <w:color w:val="auto"/>
                <w:szCs w:val="21"/>
                <w:highlight w:val="none"/>
              </w:rPr>
              <w:t>无</w:t>
            </w:r>
          </w:p>
        </w:tc>
      </w:tr>
      <w:tr w14:paraId="2A0CD5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728" w:type="pct"/>
            <w:vAlign w:val="center"/>
          </w:tcPr>
          <w:p w14:paraId="5A65F8D0">
            <w:pPr>
              <w:adjustRightInd w:val="0"/>
              <w:snapToGrid w:val="0"/>
              <w:jc w:val="center"/>
              <w:rPr>
                <w:bCs/>
                <w:color w:val="auto"/>
                <w:szCs w:val="21"/>
                <w:highlight w:val="none"/>
              </w:rPr>
            </w:pPr>
            <w:r>
              <w:rPr>
                <w:bCs/>
                <w:color w:val="auto"/>
                <w:szCs w:val="21"/>
                <w:highlight w:val="none"/>
              </w:rPr>
              <w:t>固体废物</w:t>
            </w:r>
          </w:p>
        </w:tc>
        <w:tc>
          <w:tcPr>
            <w:tcW w:w="1826" w:type="pct"/>
            <w:vAlign w:val="center"/>
          </w:tcPr>
          <w:p w14:paraId="0B6984F2">
            <w:pPr>
              <w:adjustRightInd w:val="0"/>
              <w:snapToGrid w:val="0"/>
              <w:rPr>
                <w:rFonts w:hint="eastAsia"/>
                <w:bCs/>
                <w:color w:val="auto"/>
                <w:szCs w:val="21"/>
                <w:highlight w:val="none"/>
              </w:rPr>
            </w:pPr>
            <w:r>
              <w:rPr>
                <w:rFonts w:hint="eastAsia"/>
                <w:bCs/>
                <w:color w:val="auto"/>
                <w:szCs w:val="21"/>
                <w:highlight w:val="none"/>
              </w:rPr>
              <w:t>（1）线路施工人员租住周边民房，产生的生活垃圾可纳入当地生活垃圾收集处理系统。</w:t>
            </w:r>
          </w:p>
          <w:p w14:paraId="74A67E8C">
            <w:pPr>
              <w:adjustRightInd w:val="0"/>
              <w:snapToGrid w:val="0"/>
              <w:rPr>
                <w:rFonts w:hint="eastAsia"/>
                <w:bCs/>
                <w:color w:val="auto"/>
                <w:szCs w:val="21"/>
                <w:highlight w:val="none"/>
              </w:rPr>
            </w:pPr>
            <w:r>
              <w:rPr>
                <w:rFonts w:hint="eastAsia"/>
                <w:bCs/>
                <w:color w:val="auto"/>
                <w:szCs w:val="21"/>
                <w:highlight w:val="none"/>
              </w:rPr>
              <w:t>（2）施工过程中产生的施工废物料应分类集中堆放，尽可能回收利用，不能回收利用的及时清运交由相关部门进行处理。建筑垃圾产生、收集、贮存、运输、利用、处置环节的污染控制工作按照《建筑垃圾污染控制技术规范》（HJ 1462-2026）执行。</w:t>
            </w:r>
          </w:p>
          <w:p w14:paraId="7E1831D5">
            <w:pPr>
              <w:adjustRightInd w:val="0"/>
              <w:snapToGrid w:val="0"/>
              <w:rPr>
                <w:rFonts w:hint="eastAsia"/>
                <w:bCs/>
                <w:color w:val="auto"/>
                <w:szCs w:val="21"/>
                <w:highlight w:val="none"/>
              </w:rPr>
            </w:pPr>
            <w:r>
              <w:rPr>
                <w:rFonts w:hint="eastAsia"/>
                <w:bCs/>
                <w:color w:val="auto"/>
                <w:szCs w:val="21"/>
                <w:highlight w:val="none"/>
              </w:rPr>
              <w:t>（3）基础开挖产生的余土分别在各塔基占地范围内就地回填压实、综合利用；施工剥离表土按规范要求集中堆放，施工完毕后用于复垦或植被恢复。</w:t>
            </w:r>
          </w:p>
        </w:tc>
        <w:tc>
          <w:tcPr>
            <w:tcW w:w="803" w:type="pct"/>
            <w:vAlign w:val="center"/>
          </w:tcPr>
          <w:p w14:paraId="271A0932">
            <w:pPr>
              <w:adjustRightInd w:val="0"/>
              <w:snapToGrid w:val="0"/>
              <w:rPr>
                <w:bCs/>
                <w:color w:val="auto"/>
                <w:szCs w:val="21"/>
                <w:highlight w:val="none"/>
              </w:rPr>
            </w:pPr>
            <w:r>
              <w:rPr>
                <w:color w:val="auto"/>
                <w:szCs w:val="21"/>
                <w:highlight w:val="none"/>
              </w:rPr>
              <w:t>施工期固体废物分类收集并妥善处理</w:t>
            </w:r>
            <w:r>
              <w:rPr>
                <w:rFonts w:hint="eastAsia"/>
                <w:color w:val="auto"/>
                <w:szCs w:val="21"/>
                <w:highlight w:val="none"/>
              </w:rPr>
              <w:t>，</w:t>
            </w:r>
            <w:r>
              <w:rPr>
                <w:rFonts w:hint="eastAsia"/>
                <w:bCs/>
                <w:color w:val="auto"/>
                <w:szCs w:val="21"/>
                <w:highlight w:val="none"/>
              </w:rPr>
              <w:t>线路沿线无弃土弃渣堆放。</w:t>
            </w:r>
          </w:p>
        </w:tc>
        <w:tc>
          <w:tcPr>
            <w:tcW w:w="1154" w:type="pct"/>
            <w:vAlign w:val="center"/>
          </w:tcPr>
          <w:p w14:paraId="7EE039D7">
            <w:pPr>
              <w:adjustRightInd w:val="0"/>
              <w:snapToGrid w:val="0"/>
              <w:jc w:val="center"/>
              <w:rPr>
                <w:rFonts w:hint="eastAsia" w:eastAsia="宋体"/>
                <w:bCs/>
                <w:color w:val="auto"/>
                <w:szCs w:val="21"/>
                <w:highlight w:val="none"/>
                <w:lang w:val="en-US" w:eastAsia="zh-CN"/>
              </w:rPr>
            </w:pPr>
            <w:r>
              <w:rPr>
                <w:rFonts w:hint="eastAsia"/>
                <w:bCs/>
                <w:color w:val="auto"/>
                <w:szCs w:val="21"/>
                <w:highlight w:val="none"/>
                <w:lang w:val="en-US" w:eastAsia="zh-CN"/>
              </w:rPr>
              <w:t>无</w:t>
            </w:r>
          </w:p>
        </w:tc>
        <w:tc>
          <w:tcPr>
            <w:tcW w:w="486" w:type="pct"/>
            <w:vAlign w:val="center"/>
          </w:tcPr>
          <w:p w14:paraId="17581AE7">
            <w:pPr>
              <w:adjustRightInd w:val="0"/>
              <w:snapToGrid w:val="0"/>
              <w:jc w:val="center"/>
              <w:rPr>
                <w:bCs/>
                <w:color w:val="auto"/>
                <w:szCs w:val="21"/>
                <w:highlight w:val="none"/>
              </w:rPr>
            </w:pPr>
            <w:r>
              <w:rPr>
                <w:rFonts w:hint="eastAsia"/>
                <w:bCs/>
                <w:color w:val="auto"/>
                <w:szCs w:val="21"/>
                <w:highlight w:val="none"/>
                <w:lang w:val="en-US" w:eastAsia="zh-CN"/>
              </w:rPr>
              <w:t>无</w:t>
            </w:r>
          </w:p>
        </w:tc>
      </w:tr>
      <w:tr w14:paraId="7EEAD2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728" w:type="pct"/>
            <w:vAlign w:val="center"/>
          </w:tcPr>
          <w:p w14:paraId="49686C11">
            <w:pPr>
              <w:adjustRightInd w:val="0"/>
              <w:snapToGrid w:val="0"/>
              <w:jc w:val="center"/>
              <w:rPr>
                <w:bCs/>
                <w:color w:val="auto"/>
                <w:szCs w:val="21"/>
                <w:highlight w:val="none"/>
              </w:rPr>
            </w:pPr>
            <w:r>
              <w:rPr>
                <w:bCs/>
                <w:color w:val="auto"/>
                <w:szCs w:val="21"/>
                <w:highlight w:val="none"/>
              </w:rPr>
              <w:t>电磁环境</w:t>
            </w:r>
          </w:p>
        </w:tc>
        <w:tc>
          <w:tcPr>
            <w:tcW w:w="1826" w:type="pct"/>
            <w:vAlign w:val="center"/>
          </w:tcPr>
          <w:p w14:paraId="4606A1B7">
            <w:pPr>
              <w:autoSpaceDN w:val="0"/>
              <w:ind w:hanging="2"/>
              <w:jc w:val="center"/>
              <w:rPr>
                <w:rFonts w:hint="eastAsia" w:eastAsia="宋体"/>
                <w:color w:val="auto"/>
                <w:szCs w:val="21"/>
                <w:highlight w:val="none"/>
                <w:lang w:val="en-US" w:eastAsia="zh-CN"/>
              </w:rPr>
            </w:pPr>
            <w:r>
              <w:rPr>
                <w:rFonts w:hint="eastAsia"/>
                <w:color w:val="auto"/>
                <w:szCs w:val="21"/>
                <w:highlight w:val="none"/>
                <w:lang w:val="en-US" w:eastAsia="zh-CN"/>
              </w:rPr>
              <w:t>/</w:t>
            </w:r>
          </w:p>
        </w:tc>
        <w:tc>
          <w:tcPr>
            <w:tcW w:w="803" w:type="pct"/>
            <w:vAlign w:val="center"/>
          </w:tcPr>
          <w:p w14:paraId="0776C5A5">
            <w:pPr>
              <w:adjustRightInd w:val="0"/>
              <w:snapToGrid w:val="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1154" w:type="pct"/>
            <w:vAlign w:val="center"/>
          </w:tcPr>
          <w:p w14:paraId="3BC7AA36">
            <w:pPr>
              <w:autoSpaceDN w:val="0"/>
              <w:ind w:hanging="2"/>
              <w:rPr>
                <w:bCs/>
                <w:color w:val="auto"/>
                <w:szCs w:val="21"/>
                <w:highlight w:val="none"/>
              </w:rPr>
            </w:pPr>
            <w:r>
              <w:rPr>
                <w:rFonts w:hint="eastAsia"/>
                <w:bCs/>
                <w:color w:val="auto"/>
                <w:szCs w:val="21"/>
                <w:highlight w:val="none"/>
              </w:rPr>
              <w:t>定期对其电磁环境进行监测，确保项目周边电磁环境符合相应评价标准。</w:t>
            </w:r>
          </w:p>
        </w:tc>
        <w:tc>
          <w:tcPr>
            <w:tcW w:w="486" w:type="pct"/>
            <w:vAlign w:val="center"/>
          </w:tcPr>
          <w:p w14:paraId="0EFC44DF">
            <w:pPr>
              <w:adjustRightInd w:val="0"/>
              <w:snapToGrid w:val="0"/>
              <w:rPr>
                <w:bCs/>
                <w:color w:val="auto"/>
                <w:szCs w:val="21"/>
                <w:highlight w:val="none"/>
              </w:rPr>
            </w:pPr>
            <w:r>
              <w:rPr>
                <w:rFonts w:hint="eastAsia"/>
                <w:bCs/>
                <w:color w:val="auto"/>
                <w:szCs w:val="21"/>
                <w:highlight w:val="none"/>
                <w:shd w:val="clear" w:color="auto" w:fill="FFFFFF"/>
              </w:rPr>
              <w:t>电磁环境满足《电磁环境控制限值》（</w:t>
            </w:r>
            <w:r>
              <w:rPr>
                <w:rFonts w:hint="eastAsia"/>
                <w:bCs/>
                <w:color w:val="auto"/>
                <w:szCs w:val="21"/>
                <w:highlight w:val="none"/>
                <w:shd w:val="clear" w:color="auto" w:fill="FFFFFF"/>
                <w:lang w:eastAsia="zh-CN"/>
              </w:rPr>
              <w:t xml:space="preserve">GB </w:t>
            </w:r>
            <w:r>
              <w:rPr>
                <w:rFonts w:hint="eastAsia"/>
                <w:bCs/>
                <w:color w:val="auto"/>
                <w:szCs w:val="21"/>
                <w:highlight w:val="none"/>
                <w:shd w:val="clear" w:color="auto" w:fill="FFFFFF"/>
              </w:rPr>
              <w:t>8702-2014）中相关标准限值要求。</w:t>
            </w:r>
          </w:p>
        </w:tc>
      </w:tr>
      <w:tr w14:paraId="5FF9D5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728" w:type="pct"/>
            <w:vAlign w:val="center"/>
          </w:tcPr>
          <w:p w14:paraId="1199D716">
            <w:pPr>
              <w:adjustRightInd w:val="0"/>
              <w:snapToGrid w:val="0"/>
              <w:jc w:val="center"/>
              <w:rPr>
                <w:bCs/>
                <w:color w:val="auto"/>
                <w:szCs w:val="21"/>
                <w:highlight w:val="none"/>
              </w:rPr>
            </w:pPr>
            <w:r>
              <w:rPr>
                <w:bCs/>
                <w:color w:val="auto"/>
                <w:szCs w:val="21"/>
                <w:highlight w:val="none"/>
              </w:rPr>
              <w:t>环境风险</w:t>
            </w:r>
          </w:p>
        </w:tc>
        <w:tc>
          <w:tcPr>
            <w:tcW w:w="1826" w:type="pct"/>
            <w:vAlign w:val="center"/>
          </w:tcPr>
          <w:p w14:paraId="55DD1A2B">
            <w:pPr>
              <w:adjustRightInd w:val="0"/>
              <w:snapToGrid w:val="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803" w:type="pct"/>
            <w:vAlign w:val="center"/>
          </w:tcPr>
          <w:p w14:paraId="1E41BFC9">
            <w:pPr>
              <w:adjustRightInd w:val="0"/>
              <w:snapToGrid w:val="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1154" w:type="pct"/>
            <w:vAlign w:val="center"/>
          </w:tcPr>
          <w:p w14:paraId="5B674587">
            <w:pPr>
              <w:adjustRightInd w:val="0"/>
              <w:snapToGrid w:val="0"/>
              <w:jc w:val="center"/>
              <w:rPr>
                <w:bCs/>
                <w:color w:val="auto"/>
                <w:szCs w:val="21"/>
                <w:highlight w:val="none"/>
              </w:rPr>
            </w:pPr>
            <w:r>
              <w:rPr>
                <w:rFonts w:hint="eastAsia"/>
                <w:bCs/>
                <w:color w:val="auto"/>
                <w:szCs w:val="21"/>
                <w:highlight w:val="none"/>
                <w:lang w:val="en-US" w:eastAsia="zh-CN"/>
              </w:rPr>
              <w:t>/</w:t>
            </w:r>
          </w:p>
        </w:tc>
        <w:tc>
          <w:tcPr>
            <w:tcW w:w="486" w:type="pct"/>
            <w:vAlign w:val="center"/>
          </w:tcPr>
          <w:p w14:paraId="23E33F23">
            <w:pPr>
              <w:adjustRightInd w:val="0"/>
              <w:snapToGrid w:val="0"/>
              <w:jc w:val="center"/>
              <w:rPr>
                <w:bCs/>
                <w:color w:val="auto"/>
                <w:szCs w:val="21"/>
                <w:highlight w:val="none"/>
              </w:rPr>
            </w:pPr>
            <w:r>
              <w:rPr>
                <w:rFonts w:hint="eastAsia"/>
                <w:bCs/>
                <w:color w:val="auto"/>
                <w:szCs w:val="21"/>
                <w:highlight w:val="none"/>
                <w:lang w:val="en-US" w:eastAsia="zh-CN"/>
              </w:rPr>
              <w:t>/</w:t>
            </w:r>
          </w:p>
        </w:tc>
      </w:tr>
      <w:tr w14:paraId="56E5AA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728" w:type="pct"/>
            <w:vAlign w:val="center"/>
          </w:tcPr>
          <w:p w14:paraId="0E748A7A">
            <w:pPr>
              <w:adjustRightInd w:val="0"/>
              <w:snapToGrid w:val="0"/>
              <w:jc w:val="center"/>
              <w:rPr>
                <w:bCs/>
                <w:color w:val="auto"/>
                <w:szCs w:val="21"/>
                <w:highlight w:val="none"/>
              </w:rPr>
            </w:pPr>
            <w:r>
              <w:rPr>
                <w:bCs/>
                <w:color w:val="auto"/>
                <w:szCs w:val="21"/>
                <w:highlight w:val="none"/>
              </w:rPr>
              <w:t>环境监测</w:t>
            </w:r>
          </w:p>
        </w:tc>
        <w:tc>
          <w:tcPr>
            <w:tcW w:w="1826" w:type="pct"/>
            <w:vAlign w:val="center"/>
          </w:tcPr>
          <w:p w14:paraId="27F11D59">
            <w:pPr>
              <w:adjustRightInd w:val="0"/>
              <w:snapToGrid w:val="0"/>
              <w:jc w:val="center"/>
              <w:rPr>
                <w:bCs/>
                <w:color w:val="auto"/>
                <w:szCs w:val="21"/>
                <w:highlight w:val="none"/>
              </w:rPr>
            </w:pPr>
            <w:r>
              <w:rPr>
                <w:bCs/>
                <w:color w:val="auto"/>
                <w:szCs w:val="21"/>
                <w:highlight w:val="none"/>
              </w:rPr>
              <w:t>/</w:t>
            </w:r>
          </w:p>
        </w:tc>
        <w:tc>
          <w:tcPr>
            <w:tcW w:w="803" w:type="pct"/>
            <w:vAlign w:val="center"/>
          </w:tcPr>
          <w:p w14:paraId="67FFAD8E">
            <w:pPr>
              <w:adjustRightInd w:val="0"/>
              <w:snapToGrid w:val="0"/>
              <w:jc w:val="center"/>
              <w:rPr>
                <w:bCs/>
                <w:color w:val="auto"/>
                <w:szCs w:val="21"/>
                <w:highlight w:val="none"/>
              </w:rPr>
            </w:pPr>
            <w:r>
              <w:rPr>
                <w:bCs/>
                <w:color w:val="auto"/>
                <w:szCs w:val="21"/>
                <w:highlight w:val="none"/>
              </w:rPr>
              <w:t>/</w:t>
            </w:r>
          </w:p>
        </w:tc>
        <w:tc>
          <w:tcPr>
            <w:tcW w:w="1154" w:type="pct"/>
            <w:vAlign w:val="center"/>
          </w:tcPr>
          <w:p w14:paraId="4476BFD4">
            <w:pPr>
              <w:numPr>
                <w:ilvl w:val="0"/>
                <w:numId w:val="9"/>
              </w:numPr>
              <w:adjustRightInd w:val="0"/>
              <w:snapToGrid w:val="0"/>
              <w:jc w:val="left"/>
              <w:rPr>
                <w:rFonts w:hint="eastAsia"/>
                <w:bCs/>
                <w:color w:val="auto"/>
                <w:szCs w:val="21"/>
                <w:highlight w:val="none"/>
                <w:shd w:val="clear" w:color="auto" w:fill="FFFFFF"/>
              </w:rPr>
            </w:pPr>
            <w:r>
              <w:rPr>
                <w:rFonts w:hint="eastAsia"/>
                <w:bCs/>
                <w:color w:val="auto"/>
                <w:szCs w:val="21"/>
                <w:highlight w:val="none"/>
                <w:shd w:val="clear" w:color="auto" w:fill="FFFFFF"/>
              </w:rPr>
              <w:t>工频电场、工频磁场：本项目变电站正式投产后监测一次，运行期定期监测，投诉纠纷时加强监测。线路正式投产后监测一次，运行期定期监测，投诉纠纷时加强监测。</w:t>
            </w:r>
          </w:p>
          <w:p w14:paraId="3C731738">
            <w:pPr>
              <w:adjustRightInd w:val="0"/>
              <w:snapToGrid w:val="0"/>
              <w:jc w:val="left"/>
              <w:rPr>
                <w:rFonts w:hint="eastAsia"/>
                <w:bCs/>
                <w:color w:val="auto"/>
                <w:szCs w:val="21"/>
                <w:highlight w:val="none"/>
                <w:shd w:val="clear" w:color="auto" w:fill="FFFFFF"/>
              </w:rPr>
            </w:pPr>
            <w:r>
              <w:rPr>
                <w:rFonts w:hint="eastAsia"/>
                <w:bCs/>
                <w:color w:val="auto"/>
                <w:szCs w:val="21"/>
                <w:highlight w:val="none"/>
                <w:shd w:val="clear" w:color="auto" w:fill="FFFFFF"/>
              </w:rPr>
              <w:t>（2）噪声：竣工环保验收监测1次，运行期定期监测；涉及投诉纠纷加强监测。</w:t>
            </w:r>
          </w:p>
          <w:p w14:paraId="56B212B3">
            <w:pPr>
              <w:adjustRightInd w:val="0"/>
              <w:snapToGrid w:val="0"/>
              <w:jc w:val="left"/>
              <w:rPr>
                <w:bCs/>
                <w:color w:val="auto"/>
                <w:szCs w:val="21"/>
                <w:highlight w:val="none"/>
              </w:rPr>
            </w:pPr>
            <w:r>
              <w:rPr>
                <w:rFonts w:hint="eastAsia"/>
                <w:bCs/>
                <w:color w:val="auto"/>
                <w:szCs w:val="21"/>
                <w:highlight w:val="none"/>
                <w:shd w:val="clear" w:color="auto" w:fill="FFFFFF"/>
              </w:rPr>
              <w:t>（</w:t>
            </w:r>
            <w:r>
              <w:rPr>
                <w:rFonts w:hint="eastAsia"/>
                <w:bCs/>
                <w:color w:val="auto"/>
                <w:szCs w:val="21"/>
                <w:highlight w:val="none"/>
                <w:shd w:val="clear" w:color="auto" w:fill="FFFFFF"/>
                <w:lang w:val="en-US" w:eastAsia="zh-CN"/>
              </w:rPr>
              <w:t>2</w:t>
            </w:r>
            <w:r>
              <w:rPr>
                <w:rFonts w:hint="eastAsia"/>
                <w:bCs/>
                <w:color w:val="auto"/>
                <w:szCs w:val="21"/>
                <w:highlight w:val="none"/>
                <w:shd w:val="clear" w:color="auto" w:fill="FFFFFF"/>
              </w:rPr>
              <w:t>）生态环境：在项目竣工环境保护验收前后，对本项目新建变电站区域、输电线路沿线走廊内，在项目运行前后，对土地利用、施工临时占地恢复情况等进行调查。</w:t>
            </w:r>
          </w:p>
        </w:tc>
        <w:tc>
          <w:tcPr>
            <w:tcW w:w="486" w:type="pct"/>
            <w:vAlign w:val="center"/>
          </w:tcPr>
          <w:p w14:paraId="08844F5F">
            <w:pPr>
              <w:adjustRightInd w:val="0"/>
              <w:snapToGrid w:val="0"/>
              <w:jc w:val="center"/>
              <w:rPr>
                <w:bCs/>
                <w:color w:val="auto"/>
                <w:szCs w:val="21"/>
                <w:highlight w:val="none"/>
              </w:rPr>
            </w:pPr>
            <w:r>
              <w:rPr>
                <w:bCs/>
                <w:color w:val="auto"/>
                <w:szCs w:val="21"/>
                <w:highlight w:val="none"/>
                <w:shd w:val="clear" w:color="auto" w:fill="FFFFFF"/>
              </w:rPr>
              <w:t>竣工验收时及有投诉情况时，进行监测，定期监测。</w:t>
            </w:r>
          </w:p>
        </w:tc>
      </w:tr>
      <w:tr w14:paraId="37BD11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1291" w:hRule="atLeast"/>
          <w:jc w:val="center"/>
        </w:trPr>
        <w:tc>
          <w:tcPr>
            <w:tcW w:w="728" w:type="pct"/>
            <w:vAlign w:val="center"/>
          </w:tcPr>
          <w:p w14:paraId="43B8C96D">
            <w:pPr>
              <w:adjustRightInd w:val="0"/>
              <w:snapToGrid w:val="0"/>
              <w:jc w:val="center"/>
              <w:rPr>
                <w:bCs/>
                <w:color w:val="auto"/>
                <w:szCs w:val="21"/>
                <w:highlight w:val="none"/>
              </w:rPr>
            </w:pPr>
            <w:r>
              <w:rPr>
                <w:bCs/>
                <w:color w:val="auto"/>
                <w:szCs w:val="21"/>
                <w:highlight w:val="none"/>
              </w:rPr>
              <w:t>其他</w:t>
            </w:r>
          </w:p>
        </w:tc>
        <w:tc>
          <w:tcPr>
            <w:tcW w:w="4271" w:type="pct"/>
            <w:gridSpan w:val="4"/>
            <w:vAlign w:val="center"/>
          </w:tcPr>
          <w:p w14:paraId="18333538">
            <w:pPr>
              <w:adjustRightInd w:val="0"/>
              <w:snapToGrid w:val="0"/>
              <w:jc w:val="left"/>
              <w:rPr>
                <w:bCs/>
                <w:color w:val="auto"/>
                <w:szCs w:val="21"/>
                <w:highlight w:val="none"/>
                <w:shd w:val="clear" w:color="auto" w:fill="FFFFFF"/>
              </w:rPr>
            </w:pPr>
            <w:r>
              <w:rPr>
                <w:rFonts w:hint="eastAsia"/>
                <w:bCs/>
                <w:color w:val="auto"/>
                <w:szCs w:val="21"/>
                <w:highlight w:val="none"/>
                <w:shd w:val="clear" w:color="auto" w:fill="FFFFFF"/>
              </w:rPr>
              <w:t>（1）建设单位和负责运行的单位在管理机构内配备专职和兼职人员，负责环境保护管理工作；</w:t>
            </w:r>
          </w:p>
          <w:p w14:paraId="0E283670">
            <w:pPr>
              <w:adjustRightInd w:val="0"/>
              <w:snapToGrid w:val="0"/>
              <w:rPr>
                <w:bCs/>
                <w:color w:val="auto"/>
                <w:szCs w:val="21"/>
                <w:highlight w:val="none"/>
              </w:rPr>
            </w:pPr>
            <w:r>
              <w:rPr>
                <w:rFonts w:hint="eastAsia"/>
                <w:bCs/>
                <w:color w:val="auto"/>
                <w:szCs w:val="21"/>
                <w:highlight w:val="none"/>
                <w:shd w:val="clear" w:color="auto" w:fill="FFFFFF"/>
              </w:rPr>
              <w:t>（2）工程投产后，建设单位应委托有资质的单位对变电站周边及线路沿线环境敏感目标进行监测。</w:t>
            </w:r>
          </w:p>
        </w:tc>
      </w:tr>
    </w:tbl>
    <w:p w14:paraId="6B541DEE">
      <w:pPr>
        <w:pStyle w:val="39"/>
        <w:tabs>
          <w:tab w:val="left" w:pos="2673"/>
        </w:tabs>
        <w:spacing w:before="0" w:beforeAutospacing="0"/>
        <w:jc w:val="both"/>
        <w:rPr>
          <w:rFonts w:ascii="Times New Roman" w:hAnsi="Times New Roman" w:eastAsia="黑体"/>
          <w:snapToGrid w:val="0"/>
          <w:color w:val="auto"/>
          <w:sz w:val="30"/>
          <w:szCs w:val="30"/>
          <w:highlight w:val="none"/>
        </w:rPr>
        <w:sectPr>
          <w:pgSz w:w="16838" w:h="11906" w:orient="landscape"/>
          <w:pgMar w:top="1800" w:right="1440" w:bottom="1800" w:left="1440" w:header="851" w:footer="1077" w:gutter="0"/>
          <w:pgBorders>
            <w:top w:val="none" w:sz="0" w:space="0"/>
            <w:left w:val="none" w:sz="0" w:space="0"/>
            <w:bottom w:val="none" w:sz="0" w:space="0"/>
            <w:right w:val="none" w:sz="0" w:space="0"/>
          </w:pgBorders>
          <w:cols w:space="720" w:num="1"/>
          <w:docGrid w:linePitch="312" w:charSpace="0"/>
        </w:sectPr>
      </w:pPr>
    </w:p>
    <w:p w14:paraId="150D1E89">
      <w:pPr>
        <w:pStyle w:val="39"/>
        <w:spacing w:before="0" w:beforeAutospacing="0"/>
        <w:jc w:val="center"/>
        <w:outlineLvl w:val="0"/>
        <w:rPr>
          <w:rFonts w:ascii="Times New Roman" w:hAnsi="Times New Roman" w:eastAsia="黑体"/>
          <w:snapToGrid w:val="0"/>
          <w:color w:val="auto"/>
          <w:sz w:val="30"/>
          <w:szCs w:val="30"/>
          <w:highlight w:val="none"/>
        </w:rPr>
      </w:pPr>
      <w:bookmarkStart w:id="89" w:name="_Toc28221"/>
      <w:bookmarkStart w:id="90" w:name="_Toc79488356"/>
      <w:bookmarkStart w:id="91" w:name="_Toc70507853"/>
      <w:r>
        <w:rPr>
          <w:rFonts w:ascii="Times New Roman" w:hAnsi="Times New Roman" w:eastAsia="黑体"/>
          <w:snapToGrid w:val="0"/>
          <w:color w:val="auto"/>
          <w:sz w:val="30"/>
          <w:szCs w:val="30"/>
          <w:highlight w:val="none"/>
        </w:rPr>
        <w:t>七、结论</w:t>
      </w:r>
      <w:bookmarkEnd w:id="89"/>
      <w:bookmarkEnd w:id="90"/>
      <w:bookmarkEnd w:id="91"/>
    </w:p>
    <w:tbl>
      <w:tblPr>
        <w:tblStyle w:val="44"/>
        <w:tblW w:w="92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14:paraId="390AE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9" w:hRule="atLeast"/>
          <w:jc w:val="center"/>
        </w:trPr>
        <w:tc>
          <w:tcPr>
            <w:tcW w:w="9289" w:type="dxa"/>
          </w:tcPr>
          <w:p w14:paraId="22232338">
            <w:pPr>
              <w:pStyle w:val="120"/>
              <w:ind w:firstLine="480"/>
              <w:rPr>
                <w:color w:val="auto"/>
                <w:highlight w:val="none"/>
              </w:rPr>
            </w:pPr>
            <w:r>
              <w:rPr>
                <w:color w:val="auto"/>
                <w:highlight w:val="none"/>
              </w:rPr>
              <w:t>综上所述，</w:t>
            </w:r>
            <w:r>
              <w:rPr>
                <w:rFonts w:hint="eastAsia"/>
                <w:color w:val="auto"/>
                <w:highlight w:val="none"/>
                <w:lang w:eastAsia="zh-CN"/>
              </w:rPr>
              <w:t>白沙变T接茅洲~柳北110千伏线路工程项目</w:t>
            </w:r>
            <w:r>
              <w:rPr>
                <w:rFonts w:hint="eastAsia"/>
                <w:color w:val="auto"/>
                <w:highlight w:val="none"/>
                <w:lang w:val="en-US" w:eastAsia="zh-CN"/>
              </w:rPr>
              <w:t>项目</w:t>
            </w:r>
            <w:r>
              <w:rPr>
                <w:color w:val="auto"/>
                <w:highlight w:val="none"/>
              </w:rPr>
              <w:t>的建设</w:t>
            </w:r>
            <w:r>
              <w:rPr>
                <w:rFonts w:hint="eastAsia"/>
                <w:color w:val="auto"/>
                <w:kern w:val="0"/>
                <w:sz w:val="24"/>
                <w:highlight w:val="none"/>
              </w:rPr>
              <w:t>符合《柳州市生态环境局关于印发实施柳州市生态环境分区管控动态更新成果</w:t>
            </w:r>
            <w:r>
              <w:rPr>
                <w:rFonts w:hint="eastAsia"/>
                <w:color w:val="auto"/>
                <w:kern w:val="0"/>
                <w:sz w:val="24"/>
                <w:highlight w:val="none"/>
                <w:lang w:eastAsia="zh-CN"/>
              </w:rPr>
              <w:t>（</w:t>
            </w:r>
            <w:r>
              <w:rPr>
                <w:rFonts w:hint="eastAsia"/>
                <w:color w:val="auto"/>
                <w:kern w:val="0"/>
                <w:sz w:val="24"/>
                <w:highlight w:val="none"/>
              </w:rPr>
              <w:t>2023年</w:t>
            </w:r>
            <w:r>
              <w:rPr>
                <w:rFonts w:hint="eastAsia"/>
                <w:color w:val="auto"/>
                <w:kern w:val="0"/>
                <w:sz w:val="24"/>
                <w:highlight w:val="none"/>
                <w:lang w:eastAsia="zh-CN"/>
              </w:rPr>
              <w:t>）</w:t>
            </w:r>
            <w:r>
              <w:rPr>
                <w:rFonts w:hint="eastAsia"/>
                <w:color w:val="auto"/>
                <w:kern w:val="0"/>
                <w:sz w:val="24"/>
                <w:highlight w:val="none"/>
              </w:rPr>
              <w:t>的通知》（柳环规〔2024〕</w:t>
            </w:r>
            <w:r>
              <w:rPr>
                <w:rFonts w:hint="eastAsia"/>
                <w:color w:val="auto"/>
                <w:kern w:val="0"/>
                <w:sz w:val="24"/>
                <w:highlight w:val="none"/>
                <w:lang w:val="en-US" w:eastAsia="zh-CN"/>
              </w:rPr>
              <w:t>1</w:t>
            </w:r>
            <w:r>
              <w:rPr>
                <w:rFonts w:hint="eastAsia"/>
                <w:color w:val="auto"/>
                <w:kern w:val="0"/>
                <w:sz w:val="24"/>
                <w:highlight w:val="none"/>
              </w:rPr>
              <w:t>号）的管控要求。项目建设期和运营期在严格执行本环境影响报告表中规定的各项污染防治措施和生态保护措施后，项目产生的环境影响可满足国家相关环保标准要求。因此，从环境保护角度，本建设项目环境影响是可行的。</w:t>
            </w:r>
          </w:p>
        </w:tc>
      </w:tr>
    </w:tbl>
    <w:p w14:paraId="25417940">
      <w:pPr>
        <w:pStyle w:val="39"/>
        <w:spacing w:before="0" w:beforeAutospacing="0"/>
        <w:rPr>
          <w:color w:val="auto"/>
          <w:highlight w:val="none"/>
        </w:rPr>
      </w:pPr>
    </w:p>
    <w:sectPr>
      <w:footerReference r:id="rId9" w:type="first"/>
      <w:footerReference r:id="rId8" w:type="default"/>
      <w:pgSz w:w="11906" w:h="16838"/>
      <w:pgMar w:top="1440" w:right="1304" w:bottom="1440" w:left="1588" w:header="851" w:footer="992" w:gutter="0"/>
      <w:pgBorders>
        <w:top w:val="none" w:sz="0" w:space="0"/>
        <w:left w:val="none" w:sz="0" w:space="0"/>
        <w:bottom w:val="none" w:sz="0" w:space="0"/>
        <w:right w:val="none" w:sz="0" w:space="0"/>
      </w:pgBorders>
      <w:pgNumType w:fmt="decimal"/>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3353B1-0A01-4677-839B-9CC3648956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6AEB30E4-0726-4579-9064-E10D6221FDDD}"/>
  </w:font>
  <w:font w:name="华文楷体">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embedRegular r:id="rId3" w:fontKey="{D772528C-EF6A-4465-95F7-71FA0E2EDFA8}"/>
  </w:font>
  <w:font w:name="Tahoma">
    <w:panose1 w:val="020B0604030504040204"/>
    <w:charset w:val="00"/>
    <w:family w:val="swiss"/>
    <w:pitch w:val="default"/>
    <w:sig w:usb0="E1002EFF" w:usb1="C000605B" w:usb2="00000029" w:usb3="00000000" w:csb0="200101FF" w:csb1="20280000"/>
  </w:font>
  <w:font w:name="Wonder Arial">
    <w:panose1 w:val="00000500000000000000"/>
    <w:charset w:val="00"/>
    <w:family w:val="auto"/>
    <w:pitch w:val="default"/>
    <w:sig w:usb0="00000003" w:usb1="00000000" w:usb2="00000000" w:usb3="00000000" w:csb0="20000011" w:csb1="0000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embedRegular r:id="rId4" w:fontKey="{91AF5CB4-AB8D-4AB1-8D55-C9ADB0EF266E}"/>
  </w:font>
  <w:font w:name="Segoe UI">
    <w:panose1 w:val="020B0502040204020203"/>
    <w:charset w:val="00"/>
    <w:family w:val="auto"/>
    <w:pitch w:val="default"/>
    <w:sig w:usb0="E4002EFF" w:usb1="C000E47F" w:usb2="00000009" w:usb3="00000000" w:csb0="200001FF" w:csb1="00000000"/>
    <w:embedRegular r:id="rId5" w:fontKey="{1D4139FE-9F83-4324-928A-6D7EB88F1889}"/>
  </w:font>
  <w:font w:name="仿宋">
    <w:panose1 w:val="02010609060101010101"/>
    <w:charset w:val="86"/>
    <w:family w:val="modern"/>
    <w:pitch w:val="default"/>
    <w:sig w:usb0="800002BF" w:usb1="38CF7CFA" w:usb2="00000016" w:usb3="00000000" w:csb0="00040001" w:csb1="00000000"/>
    <w:embedRegular r:id="rId6" w:fontKey="{BAA59225-254C-4645-9826-C59239B9FDB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EFC4B">
    <w:pPr>
      <w:pStyle w:val="27"/>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BDEAE">
    <w:pPr>
      <w:pStyle w:val="27"/>
      <w:framePr w:wrap="around" w:vAnchor="text" w:hAnchor="margin" w:xAlign="outside" w:y="1"/>
      <w:rPr>
        <w:rStyle w:val="48"/>
      </w:rPr>
    </w:pPr>
    <w:r>
      <w:fldChar w:fldCharType="begin"/>
    </w:r>
    <w:r>
      <w:rPr>
        <w:rStyle w:val="48"/>
      </w:rPr>
      <w:instrText xml:space="preserve">PAGE  </w:instrText>
    </w:r>
    <w:r>
      <w:fldChar w:fldCharType="separate"/>
    </w:r>
    <w:r>
      <w:rPr>
        <w:rStyle w:val="48"/>
      </w:rPr>
      <w:t>11</w:t>
    </w:r>
    <w:r>
      <w:fldChar w:fldCharType="end"/>
    </w:r>
  </w:p>
  <w:p w14:paraId="009A9D52">
    <w:pPr>
      <w:pStyle w:val="2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1A9AB">
    <w:pPr>
      <w:pStyle w:val="27"/>
      <w:framePr w:w="182" w:wrap="around" w:vAnchor="text" w:hAnchor="margin" w:xAlign="outside" w:y="1"/>
      <w:jc w:val="center"/>
      <w:rPr>
        <w:rStyle w:val="48"/>
        <w:sz w:val="21"/>
        <w:szCs w:val="21"/>
      </w:rPr>
    </w:pPr>
  </w:p>
  <w:p w14:paraId="0E46EF39">
    <w:pPr>
      <w:pStyle w:val="27"/>
      <w:rPr>
        <w:rFonts w:hint="default" w:eastAsia="宋体"/>
        <w:lang w:val="en-US" w:eastAsia="zh-CN"/>
      </w:rPr>
    </w:pPr>
    <w:r>
      <w:rPr>
        <w:rFonts w:hint="eastAsia"/>
        <w:lang w:val="en-US" w:eastAsia="zh-CN"/>
      </w:rPr>
      <w:t>96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3639A">
    <w:pPr>
      <w:pStyle w:val="27"/>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1</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FF3C2">
    <w:pPr>
      <w:pStyle w:val="27"/>
      <w:jc w:val="center"/>
      <w:rPr>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B995F7">
                          <w:pPr>
                            <w:pStyle w:val="27"/>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DB995F7">
                    <w:pPr>
                      <w:pStyle w:val="27"/>
                    </w:pPr>
                    <w:r>
                      <w:fldChar w:fldCharType="begin"/>
                    </w:r>
                    <w:r>
                      <w:instrText xml:space="preserve"> PAGE  \* MERGEFORMAT </w:instrText>
                    </w:r>
                    <w:r>
                      <w:fldChar w:fldCharType="separate"/>
                    </w:r>
                    <w:r>
                      <w:t>0</w:t>
                    </w:r>
                    <w:r>
                      <w:fldChar w:fldCharType="end"/>
                    </w:r>
                  </w:p>
                </w:txbxContent>
              </v:textbox>
            </v:shape>
          </w:pict>
        </mc:Fallback>
      </mc:AlternateContent>
    </w:r>
    <w:r>
      <w:rPr>
        <w:sz w:val="24"/>
        <w:szCs w:val="24"/>
      </w:rPr>
      <w:t>54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D3478">
    <w:pPr>
      <w:pStyle w:val="27"/>
      <w:jc w:val="center"/>
      <w:rPr>
        <w:rFonts w:hint="default" w:eastAsia="宋体"/>
        <w:lang w:val="en-US" w:eastAsia="zh-CN"/>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499154">
                          <w:pPr>
                            <w:pStyle w:val="27"/>
                          </w:pPr>
                          <w:r>
                            <w:fldChar w:fldCharType="begin"/>
                          </w:r>
                          <w:r>
                            <w:instrText xml:space="preserve"> PAGE  \* MERGEFORMAT </w:instrText>
                          </w:r>
                          <w:r>
                            <w:fldChar w:fldCharType="separate"/>
                          </w:r>
                          <w:r>
                            <w:t>96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20499154">
                    <w:pPr>
                      <w:pStyle w:val="27"/>
                    </w:pPr>
                    <w:r>
                      <w:fldChar w:fldCharType="begin"/>
                    </w:r>
                    <w:r>
                      <w:instrText xml:space="preserve"> PAGE  \* MERGEFORMAT </w:instrText>
                    </w:r>
                    <w:r>
                      <w:fldChar w:fldCharType="separate"/>
                    </w:r>
                    <w:r>
                      <w:t>96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D48EE">
    <w:pPr>
      <w:pStyle w:val="28"/>
      <w:pBdr>
        <w:top w:val="none" w:color="auto" w:sz="0" w:space="0"/>
        <w:left w:val="none" w:color="auto" w:sz="0" w:space="0"/>
        <w:bottom w:val="none" w:color="auto" w:sz="0" w:space="1"/>
        <w:right w:val="none" w:color="auto" w:sz="0" w:space="0"/>
        <w:between w:val="none" w:color="auto" w:sz="0" w:space="0"/>
      </w:pBdr>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25B283"/>
    <w:multiLevelType w:val="singleLevel"/>
    <w:tmpl w:val="8425B283"/>
    <w:lvl w:ilvl="0" w:tentative="0">
      <w:start w:val="1"/>
      <w:numFmt w:val="decimal"/>
      <w:lvlText w:val="图2-%1"/>
      <w:lvlJc w:val="left"/>
      <w:pPr>
        <w:tabs>
          <w:tab w:val="left" w:pos="420"/>
        </w:tabs>
        <w:ind w:left="425" w:leftChars="0" w:hanging="425" w:firstLineChars="0"/>
      </w:pPr>
      <w:rPr>
        <w:rFonts w:hint="default"/>
        <w:b/>
        <w:bCs/>
      </w:rPr>
    </w:lvl>
  </w:abstractNum>
  <w:abstractNum w:abstractNumId="1">
    <w:nsid w:val="B7BC0CF2"/>
    <w:multiLevelType w:val="singleLevel"/>
    <w:tmpl w:val="B7BC0CF2"/>
    <w:lvl w:ilvl="0" w:tentative="0">
      <w:start w:val="1"/>
      <w:numFmt w:val="decimal"/>
      <w:suff w:val="nothing"/>
      <w:lvlText w:val="（%1）"/>
      <w:lvlJc w:val="left"/>
    </w:lvl>
  </w:abstractNum>
  <w:abstractNum w:abstractNumId="2">
    <w:nsid w:val="F253F718"/>
    <w:multiLevelType w:val="singleLevel"/>
    <w:tmpl w:val="F253F718"/>
    <w:lvl w:ilvl="0" w:tentative="0">
      <w:start w:val="1"/>
      <w:numFmt w:val="decimal"/>
      <w:lvlText w:val="%1"/>
      <w:lvlJc w:val="left"/>
      <w:pPr>
        <w:tabs>
          <w:tab w:val="left" w:pos="0"/>
        </w:tabs>
        <w:ind w:left="0" w:leftChars="0" w:firstLine="0" w:firstLineChars="0"/>
      </w:pPr>
      <w:rPr>
        <w:rFonts w:hint="default"/>
      </w:rPr>
    </w:lvl>
  </w:abstractNum>
  <w:abstractNum w:abstractNumId="3">
    <w:nsid w:val="FEDC0E0D"/>
    <w:multiLevelType w:val="singleLevel"/>
    <w:tmpl w:val="FEDC0E0D"/>
    <w:lvl w:ilvl="0" w:tentative="0">
      <w:start w:val="1"/>
      <w:numFmt w:val="decimal"/>
      <w:suff w:val="nothing"/>
      <w:lvlText w:val="图3-%1"/>
      <w:lvlJc w:val="left"/>
      <w:pPr>
        <w:tabs>
          <w:tab w:val="left" w:pos="0"/>
        </w:tabs>
        <w:ind w:left="0" w:firstLine="0"/>
      </w:pPr>
      <w:rPr>
        <w:rFonts w:hint="default"/>
        <w:b/>
        <w:bCs/>
      </w:rPr>
    </w:lvl>
  </w:abstractNum>
  <w:abstractNum w:abstractNumId="4">
    <w:nsid w:val="11AC74BD"/>
    <w:multiLevelType w:val="singleLevel"/>
    <w:tmpl w:val="11AC74BD"/>
    <w:lvl w:ilvl="0" w:tentative="0">
      <w:start w:val="1"/>
      <w:numFmt w:val="decimal"/>
      <w:lvlText w:val="%1"/>
      <w:lvlJc w:val="left"/>
      <w:pPr>
        <w:ind w:left="0" w:leftChars="0" w:firstLine="0" w:firstLineChars="0"/>
      </w:pPr>
      <w:rPr>
        <w:rFonts w:hint="default"/>
      </w:rPr>
    </w:lvl>
  </w:abstractNum>
  <w:abstractNum w:abstractNumId="5">
    <w:nsid w:val="3C0CFA80"/>
    <w:multiLevelType w:val="singleLevel"/>
    <w:tmpl w:val="3C0CFA80"/>
    <w:lvl w:ilvl="0" w:tentative="0">
      <w:start w:val="1"/>
      <w:numFmt w:val="decimal"/>
      <w:suff w:val="nothing"/>
      <w:lvlText w:val="（%1）"/>
      <w:lvlJc w:val="left"/>
    </w:lvl>
  </w:abstractNum>
  <w:abstractNum w:abstractNumId="6">
    <w:nsid w:val="5430CB69"/>
    <w:multiLevelType w:val="singleLevel"/>
    <w:tmpl w:val="5430CB69"/>
    <w:lvl w:ilvl="0" w:tentative="0">
      <w:start w:val="2"/>
      <w:numFmt w:val="decimal"/>
      <w:suff w:val="nothing"/>
      <w:lvlText w:val="%1）"/>
      <w:lvlJc w:val="left"/>
    </w:lvl>
  </w:abstractNum>
  <w:abstractNum w:abstractNumId="7">
    <w:nsid w:val="5E2C63A6"/>
    <w:multiLevelType w:val="singleLevel"/>
    <w:tmpl w:val="5E2C63A6"/>
    <w:lvl w:ilvl="0" w:tentative="0">
      <w:start w:val="1"/>
      <w:numFmt w:val="decimal"/>
      <w:suff w:val="nothing"/>
      <w:lvlText w:val="表2-%1"/>
      <w:lvlJc w:val="left"/>
      <w:pPr>
        <w:ind w:left="0" w:firstLine="420"/>
      </w:pPr>
      <w:rPr>
        <w:rFonts w:hint="default"/>
        <w:vertAlign w:val="baseline"/>
      </w:rPr>
    </w:lvl>
  </w:abstractNum>
  <w:abstractNum w:abstractNumId="8">
    <w:nsid w:val="605E997E"/>
    <w:multiLevelType w:val="singleLevel"/>
    <w:tmpl w:val="605E997E"/>
    <w:lvl w:ilvl="0" w:tentative="0">
      <w:start w:val="1"/>
      <w:numFmt w:val="decimal"/>
      <w:suff w:val="nothing"/>
      <w:lvlText w:val="表3-%1"/>
      <w:lvlJc w:val="left"/>
      <w:pPr>
        <w:ind w:left="0" w:firstLine="0"/>
      </w:pPr>
      <w:rPr>
        <w:rFonts w:hint="default" w:ascii="Times New Roman" w:hAnsi="Times New Roman" w:cs="Times New Roman"/>
        <w:b/>
        <w:bCs/>
        <w:sz w:val="24"/>
        <w:szCs w:val="24"/>
      </w:rPr>
    </w:lvl>
  </w:abstractNum>
  <w:num w:numId="1">
    <w:abstractNumId w:val="7"/>
  </w:num>
  <w:num w:numId="2">
    <w:abstractNumId w:val="0"/>
  </w:num>
  <w:num w:numId="3">
    <w:abstractNumId w:val="6"/>
  </w:num>
  <w:num w:numId="4">
    <w:abstractNumId w:val="3"/>
  </w:num>
  <w:num w:numId="5">
    <w:abstractNumId w:val="8"/>
  </w:num>
  <w:num w:numId="6">
    <w:abstractNumId w:val="2"/>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947"/>
    <w:rsid w:val="00001160"/>
    <w:rsid w:val="0000182D"/>
    <w:rsid w:val="00001CED"/>
    <w:rsid w:val="00001E67"/>
    <w:rsid w:val="00003716"/>
    <w:rsid w:val="00003CD8"/>
    <w:rsid w:val="00012F1E"/>
    <w:rsid w:val="0001342C"/>
    <w:rsid w:val="00013A12"/>
    <w:rsid w:val="0001434B"/>
    <w:rsid w:val="00014965"/>
    <w:rsid w:val="00014E43"/>
    <w:rsid w:val="0001523A"/>
    <w:rsid w:val="00016ECB"/>
    <w:rsid w:val="0002068F"/>
    <w:rsid w:val="0002085C"/>
    <w:rsid w:val="00023AA5"/>
    <w:rsid w:val="00024618"/>
    <w:rsid w:val="0002497C"/>
    <w:rsid w:val="0002523A"/>
    <w:rsid w:val="000269F6"/>
    <w:rsid w:val="0003039A"/>
    <w:rsid w:val="000306E2"/>
    <w:rsid w:val="0003151E"/>
    <w:rsid w:val="00031939"/>
    <w:rsid w:val="00031A82"/>
    <w:rsid w:val="00031C76"/>
    <w:rsid w:val="00032D25"/>
    <w:rsid w:val="00033D3D"/>
    <w:rsid w:val="000354FA"/>
    <w:rsid w:val="00035B8E"/>
    <w:rsid w:val="0004291D"/>
    <w:rsid w:val="00042E43"/>
    <w:rsid w:val="000445BD"/>
    <w:rsid w:val="00044ACD"/>
    <w:rsid w:val="00051E1B"/>
    <w:rsid w:val="0005219D"/>
    <w:rsid w:val="00052E6A"/>
    <w:rsid w:val="00052F58"/>
    <w:rsid w:val="000543E5"/>
    <w:rsid w:val="00054C46"/>
    <w:rsid w:val="0005568F"/>
    <w:rsid w:val="00060264"/>
    <w:rsid w:val="0006153D"/>
    <w:rsid w:val="0006180D"/>
    <w:rsid w:val="00061ACF"/>
    <w:rsid w:val="00061B1F"/>
    <w:rsid w:val="00062A5B"/>
    <w:rsid w:val="00062EE2"/>
    <w:rsid w:val="00063311"/>
    <w:rsid w:val="000642E1"/>
    <w:rsid w:val="00064499"/>
    <w:rsid w:val="000664DB"/>
    <w:rsid w:val="00066BA9"/>
    <w:rsid w:val="0007127D"/>
    <w:rsid w:val="00071AE5"/>
    <w:rsid w:val="0007357C"/>
    <w:rsid w:val="00073B89"/>
    <w:rsid w:val="0007472F"/>
    <w:rsid w:val="00074783"/>
    <w:rsid w:val="000759F0"/>
    <w:rsid w:val="00075BF6"/>
    <w:rsid w:val="00077511"/>
    <w:rsid w:val="00077512"/>
    <w:rsid w:val="000801E0"/>
    <w:rsid w:val="00082A29"/>
    <w:rsid w:val="0008331D"/>
    <w:rsid w:val="00083C18"/>
    <w:rsid w:val="00084535"/>
    <w:rsid w:val="00085F65"/>
    <w:rsid w:val="00086558"/>
    <w:rsid w:val="00087926"/>
    <w:rsid w:val="00091066"/>
    <w:rsid w:val="00091368"/>
    <w:rsid w:val="0009192F"/>
    <w:rsid w:val="000920DD"/>
    <w:rsid w:val="00092509"/>
    <w:rsid w:val="00092877"/>
    <w:rsid w:val="00092899"/>
    <w:rsid w:val="00092B71"/>
    <w:rsid w:val="000945F0"/>
    <w:rsid w:val="0009724D"/>
    <w:rsid w:val="000A0851"/>
    <w:rsid w:val="000A0E55"/>
    <w:rsid w:val="000A178E"/>
    <w:rsid w:val="000A2076"/>
    <w:rsid w:val="000A3364"/>
    <w:rsid w:val="000A4221"/>
    <w:rsid w:val="000A44D1"/>
    <w:rsid w:val="000A4CB0"/>
    <w:rsid w:val="000A4DA9"/>
    <w:rsid w:val="000A557E"/>
    <w:rsid w:val="000B058F"/>
    <w:rsid w:val="000B13FE"/>
    <w:rsid w:val="000B5204"/>
    <w:rsid w:val="000B5651"/>
    <w:rsid w:val="000B5939"/>
    <w:rsid w:val="000B5B75"/>
    <w:rsid w:val="000B63C2"/>
    <w:rsid w:val="000B693F"/>
    <w:rsid w:val="000B786A"/>
    <w:rsid w:val="000C09AC"/>
    <w:rsid w:val="000C0A63"/>
    <w:rsid w:val="000C1480"/>
    <w:rsid w:val="000C40B3"/>
    <w:rsid w:val="000C437E"/>
    <w:rsid w:val="000C4D56"/>
    <w:rsid w:val="000C570D"/>
    <w:rsid w:val="000C59E0"/>
    <w:rsid w:val="000C5C33"/>
    <w:rsid w:val="000C5DF9"/>
    <w:rsid w:val="000C77F8"/>
    <w:rsid w:val="000D0C98"/>
    <w:rsid w:val="000D21CC"/>
    <w:rsid w:val="000D2760"/>
    <w:rsid w:val="000D2C93"/>
    <w:rsid w:val="000D2CAA"/>
    <w:rsid w:val="000D3AC5"/>
    <w:rsid w:val="000D3B14"/>
    <w:rsid w:val="000D4909"/>
    <w:rsid w:val="000D770B"/>
    <w:rsid w:val="000E2ADE"/>
    <w:rsid w:val="000E2D0C"/>
    <w:rsid w:val="000E572E"/>
    <w:rsid w:val="000E5F16"/>
    <w:rsid w:val="000E63F3"/>
    <w:rsid w:val="000E65ED"/>
    <w:rsid w:val="000E7043"/>
    <w:rsid w:val="000F165C"/>
    <w:rsid w:val="000F3387"/>
    <w:rsid w:val="000F4452"/>
    <w:rsid w:val="000F6DA1"/>
    <w:rsid w:val="000F701B"/>
    <w:rsid w:val="000F71DD"/>
    <w:rsid w:val="000F775E"/>
    <w:rsid w:val="001000A4"/>
    <w:rsid w:val="00100296"/>
    <w:rsid w:val="00100456"/>
    <w:rsid w:val="00101534"/>
    <w:rsid w:val="00101F29"/>
    <w:rsid w:val="00102767"/>
    <w:rsid w:val="00103C9E"/>
    <w:rsid w:val="001053F7"/>
    <w:rsid w:val="001056A0"/>
    <w:rsid w:val="00105E71"/>
    <w:rsid w:val="0010672C"/>
    <w:rsid w:val="00107888"/>
    <w:rsid w:val="00110A90"/>
    <w:rsid w:val="00112444"/>
    <w:rsid w:val="00113400"/>
    <w:rsid w:val="00115279"/>
    <w:rsid w:val="00116FA2"/>
    <w:rsid w:val="00117459"/>
    <w:rsid w:val="0011749A"/>
    <w:rsid w:val="00124B61"/>
    <w:rsid w:val="0012509A"/>
    <w:rsid w:val="00126503"/>
    <w:rsid w:val="00126819"/>
    <w:rsid w:val="00126E16"/>
    <w:rsid w:val="0012776C"/>
    <w:rsid w:val="00127A68"/>
    <w:rsid w:val="00130A77"/>
    <w:rsid w:val="00131239"/>
    <w:rsid w:val="001317B7"/>
    <w:rsid w:val="00133641"/>
    <w:rsid w:val="00134277"/>
    <w:rsid w:val="0013433E"/>
    <w:rsid w:val="00134A1A"/>
    <w:rsid w:val="00135135"/>
    <w:rsid w:val="00135170"/>
    <w:rsid w:val="00140B13"/>
    <w:rsid w:val="001415A7"/>
    <w:rsid w:val="00141B68"/>
    <w:rsid w:val="00142995"/>
    <w:rsid w:val="001434BE"/>
    <w:rsid w:val="00145914"/>
    <w:rsid w:val="001466DA"/>
    <w:rsid w:val="00147359"/>
    <w:rsid w:val="00147D84"/>
    <w:rsid w:val="0015080E"/>
    <w:rsid w:val="00152F61"/>
    <w:rsid w:val="0015386C"/>
    <w:rsid w:val="00154DE1"/>
    <w:rsid w:val="001551A7"/>
    <w:rsid w:val="001559CD"/>
    <w:rsid w:val="00155B40"/>
    <w:rsid w:val="00157435"/>
    <w:rsid w:val="0016071D"/>
    <w:rsid w:val="00161038"/>
    <w:rsid w:val="001617C1"/>
    <w:rsid w:val="00161EE1"/>
    <w:rsid w:val="001633BB"/>
    <w:rsid w:val="00163EEA"/>
    <w:rsid w:val="00163FB9"/>
    <w:rsid w:val="001643B7"/>
    <w:rsid w:val="00164FE2"/>
    <w:rsid w:val="0016570C"/>
    <w:rsid w:val="00166ACC"/>
    <w:rsid w:val="00167917"/>
    <w:rsid w:val="00167A07"/>
    <w:rsid w:val="0017046A"/>
    <w:rsid w:val="001704A3"/>
    <w:rsid w:val="00171274"/>
    <w:rsid w:val="00172C19"/>
    <w:rsid w:val="001733CE"/>
    <w:rsid w:val="001742A9"/>
    <w:rsid w:val="0017504D"/>
    <w:rsid w:val="00177422"/>
    <w:rsid w:val="00177F1B"/>
    <w:rsid w:val="001809CF"/>
    <w:rsid w:val="00181D2D"/>
    <w:rsid w:val="00182252"/>
    <w:rsid w:val="00183D58"/>
    <w:rsid w:val="00184F10"/>
    <w:rsid w:val="00185546"/>
    <w:rsid w:val="0018771D"/>
    <w:rsid w:val="00187C0D"/>
    <w:rsid w:val="0019007C"/>
    <w:rsid w:val="0019146B"/>
    <w:rsid w:val="00191BC3"/>
    <w:rsid w:val="00192DFB"/>
    <w:rsid w:val="0019364E"/>
    <w:rsid w:val="00194398"/>
    <w:rsid w:val="00195251"/>
    <w:rsid w:val="0019672D"/>
    <w:rsid w:val="001A0F8B"/>
    <w:rsid w:val="001A1FA9"/>
    <w:rsid w:val="001A2968"/>
    <w:rsid w:val="001A5329"/>
    <w:rsid w:val="001A5C11"/>
    <w:rsid w:val="001A7D2A"/>
    <w:rsid w:val="001B037A"/>
    <w:rsid w:val="001B09D8"/>
    <w:rsid w:val="001B12A3"/>
    <w:rsid w:val="001B1A67"/>
    <w:rsid w:val="001B28DC"/>
    <w:rsid w:val="001B4967"/>
    <w:rsid w:val="001B526C"/>
    <w:rsid w:val="001B574C"/>
    <w:rsid w:val="001B7DD5"/>
    <w:rsid w:val="001B7ED0"/>
    <w:rsid w:val="001C0AF9"/>
    <w:rsid w:val="001C0CCF"/>
    <w:rsid w:val="001C155A"/>
    <w:rsid w:val="001C1C7D"/>
    <w:rsid w:val="001C2B14"/>
    <w:rsid w:val="001C48C0"/>
    <w:rsid w:val="001C561C"/>
    <w:rsid w:val="001C5E7E"/>
    <w:rsid w:val="001C6CAC"/>
    <w:rsid w:val="001D0278"/>
    <w:rsid w:val="001D3D85"/>
    <w:rsid w:val="001D3DF2"/>
    <w:rsid w:val="001D423D"/>
    <w:rsid w:val="001D4F2D"/>
    <w:rsid w:val="001D6726"/>
    <w:rsid w:val="001D77F9"/>
    <w:rsid w:val="001D7A36"/>
    <w:rsid w:val="001D7AC1"/>
    <w:rsid w:val="001E1508"/>
    <w:rsid w:val="001E2313"/>
    <w:rsid w:val="001E291A"/>
    <w:rsid w:val="001E30CD"/>
    <w:rsid w:val="001E3B53"/>
    <w:rsid w:val="001E4279"/>
    <w:rsid w:val="001E56E2"/>
    <w:rsid w:val="001E5723"/>
    <w:rsid w:val="001E63E3"/>
    <w:rsid w:val="001E6A78"/>
    <w:rsid w:val="001E7BF7"/>
    <w:rsid w:val="001F0B9D"/>
    <w:rsid w:val="001F10C7"/>
    <w:rsid w:val="001F1B45"/>
    <w:rsid w:val="001F1DAA"/>
    <w:rsid w:val="001F2B0C"/>
    <w:rsid w:val="001F3238"/>
    <w:rsid w:val="001F3347"/>
    <w:rsid w:val="001F3873"/>
    <w:rsid w:val="001F4440"/>
    <w:rsid w:val="001F5010"/>
    <w:rsid w:val="001F535B"/>
    <w:rsid w:val="001F6028"/>
    <w:rsid w:val="001F69E4"/>
    <w:rsid w:val="001F7DF4"/>
    <w:rsid w:val="00201770"/>
    <w:rsid w:val="002032B2"/>
    <w:rsid w:val="00203506"/>
    <w:rsid w:val="0020446A"/>
    <w:rsid w:val="00205547"/>
    <w:rsid w:val="00206A65"/>
    <w:rsid w:val="002070D4"/>
    <w:rsid w:val="00207852"/>
    <w:rsid w:val="0021124C"/>
    <w:rsid w:val="00212D31"/>
    <w:rsid w:val="002130C7"/>
    <w:rsid w:val="00213F0D"/>
    <w:rsid w:val="002147A2"/>
    <w:rsid w:val="002150D6"/>
    <w:rsid w:val="00215420"/>
    <w:rsid w:val="002213C3"/>
    <w:rsid w:val="002218A8"/>
    <w:rsid w:val="0022306D"/>
    <w:rsid w:val="002237D9"/>
    <w:rsid w:val="002239B8"/>
    <w:rsid w:val="002246B2"/>
    <w:rsid w:val="00224D85"/>
    <w:rsid w:val="00226241"/>
    <w:rsid w:val="00226574"/>
    <w:rsid w:val="002278EC"/>
    <w:rsid w:val="00231AAC"/>
    <w:rsid w:val="00231ED8"/>
    <w:rsid w:val="002336B8"/>
    <w:rsid w:val="002357C7"/>
    <w:rsid w:val="002367C4"/>
    <w:rsid w:val="00240377"/>
    <w:rsid w:val="00240891"/>
    <w:rsid w:val="0024118C"/>
    <w:rsid w:val="00243C38"/>
    <w:rsid w:val="00247504"/>
    <w:rsid w:val="00252F5E"/>
    <w:rsid w:val="0025593A"/>
    <w:rsid w:val="00255AF3"/>
    <w:rsid w:val="0025679E"/>
    <w:rsid w:val="00256A6F"/>
    <w:rsid w:val="00257011"/>
    <w:rsid w:val="00257FFC"/>
    <w:rsid w:val="00260C68"/>
    <w:rsid w:val="00261437"/>
    <w:rsid w:val="00261E86"/>
    <w:rsid w:val="00262C72"/>
    <w:rsid w:val="00263058"/>
    <w:rsid w:val="00263A32"/>
    <w:rsid w:val="00263C0C"/>
    <w:rsid w:val="002648B0"/>
    <w:rsid w:val="00265B67"/>
    <w:rsid w:val="00265C4A"/>
    <w:rsid w:val="002660A1"/>
    <w:rsid w:val="00270BE1"/>
    <w:rsid w:val="00271B95"/>
    <w:rsid w:val="0027277D"/>
    <w:rsid w:val="002730E3"/>
    <w:rsid w:val="002748B6"/>
    <w:rsid w:val="00275271"/>
    <w:rsid w:val="0027535E"/>
    <w:rsid w:val="00275AA6"/>
    <w:rsid w:val="00275B4C"/>
    <w:rsid w:val="00276757"/>
    <w:rsid w:val="00276B79"/>
    <w:rsid w:val="00277673"/>
    <w:rsid w:val="002807D5"/>
    <w:rsid w:val="00280E2D"/>
    <w:rsid w:val="00281552"/>
    <w:rsid w:val="00282371"/>
    <w:rsid w:val="00282CCD"/>
    <w:rsid w:val="00283010"/>
    <w:rsid w:val="00284BD1"/>
    <w:rsid w:val="00285BA6"/>
    <w:rsid w:val="002872D4"/>
    <w:rsid w:val="0028776B"/>
    <w:rsid w:val="00287B31"/>
    <w:rsid w:val="00292991"/>
    <w:rsid w:val="002934D3"/>
    <w:rsid w:val="0029416E"/>
    <w:rsid w:val="00294553"/>
    <w:rsid w:val="00296DBE"/>
    <w:rsid w:val="002A11D3"/>
    <w:rsid w:val="002A168C"/>
    <w:rsid w:val="002A2C48"/>
    <w:rsid w:val="002A2EAF"/>
    <w:rsid w:val="002A3E0B"/>
    <w:rsid w:val="002A3EED"/>
    <w:rsid w:val="002A4A39"/>
    <w:rsid w:val="002A5A17"/>
    <w:rsid w:val="002A5B88"/>
    <w:rsid w:val="002A5BD7"/>
    <w:rsid w:val="002A6425"/>
    <w:rsid w:val="002A67A8"/>
    <w:rsid w:val="002A6C63"/>
    <w:rsid w:val="002B0648"/>
    <w:rsid w:val="002B0BAE"/>
    <w:rsid w:val="002B3278"/>
    <w:rsid w:val="002B3446"/>
    <w:rsid w:val="002B35E5"/>
    <w:rsid w:val="002B49E2"/>
    <w:rsid w:val="002B4EE5"/>
    <w:rsid w:val="002B557D"/>
    <w:rsid w:val="002B6923"/>
    <w:rsid w:val="002B6A57"/>
    <w:rsid w:val="002B7B00"/>
    <w:rsid w:val="002B7C44"/>
    <w:rsid w:val="002C1388"/>
    <w:rsid w:val="002C2724"/>
    <w:rsid w:val="002C3C6A"/>
    <w:rsid w:val="002C3FDD"/>
    <w:rsid w:val="002C4157"/>
    <w:rsid w:val="002C597E"/>
    <w:rsid w:val="002C7F3C"/>
    <w:rsid w:val="002D05E8"/>
    <w:rsid w:val="002D3129"/>
    <w:rsid w:val="002D3DA2"/>
    <w:rsid w:val="002D42DB"/>
    <w:rsid w:val="002D4DE7"/>
    <w:rsid w:val="002D5D56"/>
    <w:rsid w:val="002D624A"/>
    <w:rsid w:val="002D6B05"/>
    <w:rsid w:val="002D6D1A"/>
    <w:rsid w:val="002D7B47"/>
    <w:rsid w:val="002E0985"/>
    <w:rsid w:val="002E0D22"/>
    <w:rsid w:val="002E0EDE"/>
    <w:rsid w:val="002E1F3A"/>
    <w:rsid w:val="002E298A"/>
    <w:rsid w:val="002E2A0B"/>
    <w:rsid w:val="002E2A9A"/>
    <w:rsid w:val="002E342F"/>
    <w:rsid w:val="002E347E"/>
    <w:rsid w:val="002E4BD1"/>
    <w:rsid w:val="002E6CF4"/>
    <w:rsid w:val="002E762A"/>
    <w:rsid w:val="002F02A4"/>
    <w:rsid w:val="002F17C1"/>
    <w:rsid w:val="002F272B"/>
    <w:rsid w:val="002F2EF0"/>
    <w:rsid w:val="002F466F"/>
    <w:rsid w:val="002F5DEC"/>
    <w:rsid w:val="002F60DF"/>
    <w:rsid w:val="002F6367"/>
    <w:rsid w:val="002F698D"/>
    <w:rsid w:val="002F7C6D"/>
    <w:rsid w:val="002F7CA4"/>
    <w:rsid w:val="003020DB"/>
    <w:rsid w:val="003027E4"/>
    <w:rsid w:val="0030332C"/>
    <w:rsid w:val="00305197"/>
    <w:rsid w:val="00305D76"/>
    <w:rsid w:val="00305EC7"/>
    <w:rsid w:val="0030671C"/>
    <w:rsid w:val="00306A23"/>
    <w:rsid w:val="003072A8"/>
    <w:rsid w:val="00307A67"/>
    <w:rsid w:val="0031223C"/>
    <w:rsid w:val="00312296"/>
    <w:rsid w:val="00312A24"/>
    <w:rsid w:val="0031335D"/>
    <w:rsid w:val="0031340E"/>
    <w:rsid w:val="00314BA9"/>
    <w:rsid w:val="00315D81"/>
    <w:rsid w:val="003163EB"/>
    <w:rsid w:val="00316464"/>
    <w:rsid w:val="00316532"/>
    <w:rsid w:val="003167E1"/>
    <w:rsid w:val="0032073A"/>
    <w:rsid w:val="00321958"/>
    <w:rsid w:val="00321D8E"/>
    <w:rsid w:val="003228E0"/>
    <w:rsid w:val="003235FA"/>
    <w:rsid w:val="003242D5"/>
    <w:rsid w:val="003249BB"/>
    <w:rsid w:val="0032731A"/>
    <w:rsid w:val="00331634"/>
    <w:rsid w:val="003319AB"/>
    <w:rsid w:val="0033288B"/>
    <w:rsid w:val="003329A7"/>
    <w:rsid w:val="00332EE5"/>
    <w:rsid w:val="00333401"/>
    <w:rsid w:val="003347A3"/>
    <w:rsid w:val="00334996"/>
    <w:rsid w:val="00336969"/>
    <w:rsid w:val="00336C52"/>
    <w:rsid w:val="00337703"/>
    <w:rsid w:val="00341B3E"/>
    <w:rsid w:val="00341B42"/>
    <w:rsid w:val="00345154"/>
    <w:rsid w:val="003453C9"/>
    <w:rsid w:val="0034560E"/>
    <w:rsid w:val="00346121"/>
    <w:rsid w:val="003465DC"/>
    <w:rsid w:val="00347336"/>
    <w:rsid w:val="00347996"/>
    <w:rsid w:val="00350523"/>
    <w:rsid w:val="00351C9D"/>
    <w:rsid w:val="00351D42"/>
    <w:rsid w:val="00351FFF"/>
    <w:rsid w:val="003522A0"/>
    <w:rsid w:val="00352975"/>
    <w:rsid w:val="00352CE5"/>
    <w:rsid w:val="00352FB6"/>
    <w:rsid w:val="003552F8"/>
    <w:rsid w:val="00355DFE"/>
    <w:rsid w:val="00356868"/>
    <w:rsid w:val="00357EAB"/>
    <w:rsid w:val="003608B9"/>
    <w:rsid w:val="00360E24"/>
    <w:rsid w:val="0036186F"/>
    <w:rsid w:val="00361CB0"/>
    <w:rsid w:val="00362264"/>
    <w:rsid w:val="0036277A"/>
    <w:rsid w:val="00362B02"/>
    <w:rsid w:val="0036485B"/>
    <w:rsid w:val="00366E8F"/>
    <w:rsid w:val="003672B0"/>
    <w:rsid w:val="00367550"/>
    <w:rsid w:val="00367943"/>
    <w:rsid w:val="0037040E"/>
    <w:rsid w:val="00371991"/>
    <w:rsid w:val="00371BE3"/>
    <w:rsid w:val="00371E5F"/>
    <w:rsid w:val="00373B0D"/>
    <w:rsid w:val="00373FAA"/>
    <w:rsid w:val="003766C7"/>
    <w:rsid w:val="00376988"/>
    <w:rsid w:val="00376DD5"/>
    <w:rsid w:val="0037758B"/>
    <w:rsid w:val="003775C5"/>
    <w:rsid w:val="00381A72"/>
    <w:rsid w:val="0038242F"/>
    <w:rsid w:val="003856EB"/>
    <w:rsid w:val="0039128F"/>
    <w:rsid w:val="00392885"/>
    <w:rsid w:val="0039680B"/>
    <w:rsid w:val="003977FB"/>
    <w:rsid w:val="003A1948"/>
    <w:rsid w:val="003A2345"/>
    <w:rsid w:val="003A249B"/>
    <w:rsid w:val="003A401D"/>
    <w:rsid w:val="003A6750"/>
    <w:rsid w:val="003A6C1A"/>
    <w:rsid w:val="003A6FFC"/>
    <w:rsid w:val="003A7415"/>
    <w:rsid w:val="003B01C0"/>
    <w:rsid w:val="003B152A"/>
    <w:rsid w:val="003B2555"/>
    <w:rsid w:val="003B2DC5"/>
    <w:rsid w:val="003B3187"/>
    <w:rsid w:val="003B38FB"/>
    <w:rsid w:val="003B4171"/>
    <w:rsid w:val="003B45EC"/>
    <w:rsid w:val="003B545B"/>
    <w:rsid w:val="003B61BF"/>
    <w:rsid w:val="003C3303"/>
    <w:rsid w:val="003C4892"/>
    <w:rsid w:val="003C4973"/>
    <w:rsid w:val="003C5629"/>
    <w:rsid w:val="003C6A8F"/>
    <w:rsid w:val="003C746F"/>
    <w:rsid w:val="003D1238"/>
    <w:rsid w:val="003D19E2"/>
    <w:rsid w:val="003D3BE5"/>
    <w:rsid w:val="003D3EE9"/>
    <w:rsid w:val="003D5937"/>
    <w:rsid w:val="003D5B93"/>
    <w:rsid w:val="003D680A"/>
    <w:rsid w:val="003D7723"/>
    <w:rsid w:val="003D7CEC"/>
    <w:rsid w:val="003E0545"/>
    <w:rsid w:val="003E09D0"/>
    <w:rsid w:val="003E0ACB"/>
    <w:rsid w:val="003E0C07"/>
    <w:rsid w:val="003E3561"/>
    <w:rsid w:val="003E5147"/>
    <w:rsid w:val="003E55A6"/>
    <w:rsid w:val="003E580E"/>
    <w:rsid w:val="003E7681"/>
    <w:rsid w:val="003F0809"/>
    <w:rsid w:val="003F1141"/>
    <w:rsid w:val="003F3382"/>
    <w:rsid w:val="003F3713"/>
    <w:rsid w:val="003F529D"/>
    <w:rsid w:val="003F575F"/>
    <w:rsid w:val="003F611C"/>
    <w:rsid w:val="003F755C"/>
    <w:rsid w:val="0040073A"/>
    <w:rsid w:val="004011CE"/>
    <w:rsid w:val="00404A80"/>
    <w:rsid w:val="00404CC4"/>
    <w:rsid w:val="00404FC5"/>
    <w:rsid w:val="00405BC7"/>
    <w:rsid w:val="0040639B"/>
    <w:rsid w:val="00406F01"/>
    <w:rsid w:val="0040773C"/>
    <w:rsid w:val="00411B36"/>
    <w:rsid w:val="00411FD9"/>
    <w:rsid w:val="004121D7"/>
    <w:rsid w:val="00413029"/>
    <w:rsid w:val="00415536"/>
    <w:rsid w:val="00415B61"/>
    <w:rsid w:val="00416876"/>
    <w:rsid w:val="00416D50"/>
    <w:rsid w:val="00417772"/>
    <w:rsid w:val="00420E6A"/>
    <w:rsid w:val="004210D7"/>
    <w:rsid w:val="00422C51"/>
    <w:rsid w:val="004235FB"/>
    <w:rsid w:val="0042378F"/>
    <w:rsid w:val="00427C9B"/>
    <w:rsid w:val="004307B0"/>
    <w:rsid w:val="00430FF5"/>
    <w:rsid w:val="00431BC2"/>
    <w:rsid w:val="00433A53"/>
    <w:rsid w:val="00433CA9"/>
    <w:rsid w:val="0043504D"/>
    <w:rsid w:val="0043521D"/>
    <w:rsid w:val="00436A7F"/>
    <w:rsid w:val="0044038A"/>
    <w:rsid w:val="004407C5"/>
    <w:rsid w:val="0044087E"/>
    <w:rsid w:val="0044153C"/>
    <w:rsid w:val="0044200E"/>
    <w:rsid w:val="00442024"/>
    <w:rsid w:val="0044254C"/>
    <w:rsid w:val="00443BE9"/>
    <w:rsid w:val="00443F6A"/>
    <w:rsid w:val="00444201"/>
    <w:rsid w:val="0044442F"/>
    <w:rsid w:val="00447691"/>
    <w:rsid w:val="00447E50"/>
    <w:rsid w:val="00450A17"/>
    <w:rsid w:val="0045505E"/>
    <w:rsid w:val="00455535"/>
    <w:rsid w:val="00455C68"/>
    <w:rsid w:val="0045710D"/>
    <w:rsid w:val="00460949"/>
    <w:rsid w:val="00460A31"/>
    <w:rsid w:val="00461871"/>
    <w:rsid w:val="00462B35"/>
    <w:rsid w:val="00462F14"/>
    <w:rsid w:val="00463BF3"/>
    <w:rsid w:val="00464C46"/>
    <w:rsid w:val="004654A7"/>
    <w:rsid w:val="004655D7"/>
    <w:rsid w:val="00466321"/>
    <w:rsid w:val="004672AF"/>
    <w:rsid w:val="00471614"/>
    <w:rsid w:val="004727B0"/>
    <w:rsid w:val="00472961"/>
    <w:rsid w:val="00472C0A"/>
    <w:rsid w:val="00473BD9"/>
    <w:rsid w:val="00474CEE"/>
    <w:rsid w:val="004755F8"/>
    <w:rsid w:val="004757D5"/>
    <w:rsid w:val="004757EF"/>
    <w:rsid w:val="00476667"/>
    <w:rsid w:val="00480247"/>
    <w:rsid w:val="0048081D"/>
    <w:rsid w:val="0048117E"/>
    <w:rsid w:val="004816A5"/>
    <w:rsid w:val="004819A2"/>
    <w:rsid w:val="00482873"/>
    <w:rsid w:val="004855F6"/>
    <w:rsid w:val="0048608C"/>
    <w:rsid w:val="00486704"/>
    <w:rsid w:val="00486F0C"/>
    <w:rsid w:val="00487719"/>
    <w:rsid w:val="00487F68"/>
    <w:rsid w:val="00491302"/>
    <w:rsid w:val="0049213E"/>
    <w:rsid w:val="00492453"/>
    <w:rsid w:val="004929C9"/>
    <w:rsid w:val="00493C91"/>
    <w:rsid w:val="00493CE2"/>
    <w:rsid w:val="004941CE"/>
    <w:rsid w:val="00494670"/>
    <w:rsid w:val="0049514A"/>
    <w:rsid w:val="00495536"/>
    <w:rsid w:val="00496AA3"/>
    <w:rsid w:val="00496E54"/>
    <w:rsid w:val="004A0768"/>
    <w:rsid w:val="004A0EB4"/>
    <w:rsid w:val="004A0F61"/>
    <w:rsid w:val="004A1640"/>
    <w:rsid w:val="004A3823"/>
    <w:rsid w:val="004A5038"/>
    <w:rsid w:val="004A59BB"/>
    <w:rsid w:val="004A6041"/>
    <w:rsid w:val="004B193B"/>
    <w:rsid w:val="004B43A3"/>
    <w:rsid w:val="004B45CE"/>
    <w:rsid w:val="004B4C49"/>
    <w:rsid w:val="004B58A5"/>
    <w:rsid w:val="004B63D9"/>
    <w:rsid w:val="004B69AD"/>
    <w:rsid w:val="004C0882"/>
    <w:rsid w:val="004C10BD"/>
    <w:rsid w:val="004C35ED"/>
    <w:rsid w:val="004C3D94"/>
    <w:rsid w:val="004C55BE"/>
    <w:rsid w:val="004C5987"/>
    <w:rsid w:val="004C738E"/>
    <w:rsid w:val="004C766C"/>
    <w:rsid w:val="004D1127"/>
    <w:rsid w:val="004D116A"/>
    <w:rsid w:val="004D1B14"/>
    <w:rsid w:val="004D24FB"/>
    <w:rsid w:val="004D310F"/>
    <w:rsid w:val="004D3903"/>
    <w:rsid w:val="004D4187"/>
    <w:rsid w:val="004D76D9"/>
    <w:rsid w:val="004D78AC"/>
    <w:rsid w:val="004D7A39"/>
    <w:rsid w:val="004E052A"/>
    <w:rsid w:val="004E3270"/>
    <w:rsid w:val="004E5B30"/>
    <w:rsid w:val="004F0147"/>
    <w:rsid w:val="004F0779"/>
    <w:rsid w:val="004F08A1"/>
    <w:rsid w:val="004F0DE5"/>
    <w:rsid w:val="004F1230"/>
    <w:rsid w:val="004F173F"/>
    <w:rsid w:val="004F177C"/>
    <w:rsid w:val="004F2BD6"/>
    <w:rsid w:val="004F2DCE"/>
    <w:rsid w:val="004F34F9"/>
    <w:rsid w:val="004F40A1"/>
    <w:rsid w:val="004F529E"/>
    <w:rsid w:val="0050055D"/>
    <w:rsid w:val="00500FEA"/>
    <w:rsid w:val="005031B1"/>
    <w:rsid w:val="005039CB"/>
    <w:rsid w:val="00504BFB"/>
    <w:rsid w:val="0050558F"/>
    <w:rsid w:val="005057E0"/>
    <w:rsid w:val="00505B66"/>
    <w:rsid w:val="00506286"/>
    <w:rsid w:val="00510813"/>
    <w:rsid w:val="00510FE5"/>
    <w:rsid w:val="00511DE0"/>
    <w:rsid w:val="00512253"/>
    <w:rsid w:val="0051389C"/>
    <w:rsid w:val="005159D0"/>
    <w:rsid w:val="00516AC8"/>
    <w:rsid w:val="00517AAE"/>
    <w:rsid w:val="00517F02"/>
    <w:rsid w:val="00520D76"/>
    <w:rsid w:val="00520E2E"/>
    <w:rsid w:val="00521E1F"/>
    <w:rsid w:val="005220EF"/>
    <w:rsid w:val="005222B5"/>
    <w:rsid w:val="00522AD8"/>
    <w:rsid w:val="00523471"/>
    <w:rsid w:val="00523C00"/>
    <w:rsid w:val="00523F06"/>
    <w:rsid w:val="00524547"/>
    <w:rsid w:val="005258A2"/>
    <w:rsid w:val="0052655C"/>
    <w:rsid w:val="00530A71"/>
    <w:rsid w:val="00530B12"/>
    <w:rsid w:val="00530F7C"/>
    <w:rsid w:val="00533108"/>
    <w:rsid w:val="00533110"/>
    <w:rsid w:val="00534567"/>
    <w:rsid w:val="00534F43"/>
    <w:rsid w:val="00535A84"/>
    <w:rsid w:val="0053641C"/>
    <w:rsid w:val="00536889"/>
    <w:rsid w:val="00536CE1"/>
    <w:rsid w:val="00542479"/>
    <w:rsid w:val="00542498"/>
    <w:rsid w:val="00542E07"/>
    <w:rsid w:val="00544583"/>
    <w:rsid w:val="00546C16"/>
    <w:rsid w:val="00550AC0"/>
    <w:rsid w:val="00552734"/>
    <w:rsid w:val="00552E6A"/>
    <w:rsid w:val="00553F07"/>
    <w:rsid w:val="00554047"/>
    <w:rsid w:val="00554A7B"/>
    <w:rsid w:val="005551C1"/>
    <w:rsid w:val="0055572C"/>
    <w:rsid w:val="00555761"/>
    <w:rsid w:val="00556436"/>
    <w:rsid w:val="0056064F"/>
    <w:rsid w:val="00560D05"/>
    <w:rsid w:val="00561716"/>
    <w:rsid w:val="00561B84"/>
    <w:rsid w:val="00563274"/>
    <w:rsid w:val="00564771"/>
    <w:rsid w:val="00571D98"/>
    <w:rsid w:val="00571F54"/>
    <w:rsid w:val="005720AE"/>
    <w:rsid w:val="00572E8D"/>
    <w:rsid w:val="00572EA0"/>
    <w:rsid w:val="00574AD4"/>
    <w:rsid w:val="005753CA"/>
    <w:rsid w:val="00575874"/>
    <w:rsid w:val="00577EDA"/>
    <w:rsid w:val="0058030D"/>
    <w:rsid w:val="00580314"/>
    <w:rsid w:val="00580E38"/>
    <w:rsid w:val="00581B4A"/>
    <w:rsid w:val="00582045"/>
    <w:rsid w:val="0058217F"/>
    <w:rsid w:val="00583F35"/>
    <w:rsid w:val="00584172"/>
    <w:rsid w:val="0058507B"/>
    <w:rsid w:val="005852DB"/>
    <w:rsid w:val="00585389"/>
    <w:rsid w:val="005855F2"/>
    <w:rsid w:val="00587141"/>
    <w:rsid w:val="00587805"/>
    <w:rsid w:val="00587CDB"/>
    <w:rsid w:val="00587D0B"/>
    <w:rsid w:val="00590017"/>
    <w:rsid w:val="00590AB6"/>
    <w:rsid w:val="00590AE3"/>
    <w:rsid w:val="00590FC6"/>
    <w:rsid w:val="0059111E"/>
    <w:rsid w:val="005918F1"/>
    <w:rsid w:val="00592D03"/>
    <w:rsid w:val="0059443E"/>
    <w:rsid w:val="005948A5"/>
    <w:rsid w:val="005953FC"/>
    <w:rsid w:val="00596096"/>
    <w:rsid w:val="005964AE"/>
    <w:rsid w:val="005A055E"/>
    <w:rsid w:val="005A06B7"/>
    <w:rsid w:val="005A0A21"/>
    <w:rsid w:val="005A121C"/>
    <w:rsid w:val="005A1759"/>
    <w:rsid w:val="005A3F74"/>
    <w:rsid w:val="005A5A49"/>
    <w:rsid w:val="005A5B58"/>
    <w:rsid w:val="005A6B98"/>
    <w:rsid w:val="005A724F"/>
    <w:rsid w:val="005A7488"/>
    <w:rsid w:val="005A7E35"/>
    <w:rsid w:val="005B38B2"/>
    <w:rsid w:val="005B4116"/>
    <w:rsid w:val="005B69B6"/>
    <w:rsid w:val="005B792A"/>
    <w:rsid w:val="005C06DB"/>
    <w:rsid w:val="005C0904"/>
    <w:rsid w:val="005C0A10"/>
    <w:rsid w:val="005C14F8"/>
    <w:rsid w:val="005C26B3"/>
    <w:rsid w:val="005C35C1"/>
    <w:rsid w:val="005C4DA8"/>
    <w:rsid w:val="005C63F5"/>
    <w:rsid w:val="005C6B1F"/>
    <w:rsid w:val="005C78B7"/>
    <w:rsid w:val="005C79E3"/>
    <w:rsid w:val="005C7C56"/>
    <w:rsid w:val="005C7DD7"/>
    <w:rsid w:val="005C7F1F"/>
    <w:rsid w:val="005D0369"/>
    <w:rsid w:val="005D53FE"/>
    <w:rsid w:val="005D5D21"/>
    <w:rsid w:val="005D7A0F"/>
    <w:rsid w:val="005D7C2A"/>
    <w:rsid w:val="005E0438"/>
    <w:rsid w:val="005E1791"/>
    <w:rsid w:val="005E1C53"/>
    <w:rsid w:val="005E2CE6"/>
    <w:rsid w:val="005E3103"/>
    <w:rsid w:val="005E3B34"/>
    <w:rsid w:val="005E51FE"/>
    <w:rsid w:val="005E57B3"/>
    <w:rsid w:val="005E6324"/>
    <w:rsid w:val="005E6ED2"/>
    <w:rsid w:val="005F0854"/>
    <w:rsid w:val="005F08F3"/>
    <w:rsid w:val="005F21FA"/>
    <w:rsid w:val="005F228B"/>
    <w:rsid w:val="005F29CD"/>
    <w:rsid w:val="005F4DFB"/>
    <w:rsid w:val="005F4F21"/>
    <w:rsid w:val="005F5211"/>
    <w:rsid w:val="005F5C8A"/>
    <w:rsid w:val="005F6CC0"/>
    <w:rsid w:val="005F6CE4"/>
    <w:rsid w:val="005F6D3A"/>
    <w:rsid w:val="005F7113"/>
    <w:rsid w:val="0060273F"/>
    <w:rsid w:val="00602F5F"/>
    <w:rsid w:val="00603E5B"/>
    <w:rsid w:val="00604BC8"/>
    <w:rsid w:val="00607AC4"/>
    <w:rsid w:val="00607E3B"/>
    <w:rsid w:val="0061386A"/>
    <w:rsid w:val="00613902"/>
    <w:rsid w:val="00614D7D"/>
    <w:rsid w:val="00615B4C"/>
    <w:rsid w:val="00615B5D"/>
    <w:rsid w:val="006160F2"/>
    <w:rsid w:val="0061627B"/>
    <w:rsid w:val="006178B2"/>
    <w:rsid w:val="00620842"/>
    <w:rsid w:val="0062146F"/>
    <w:rsid w:val="006226F7"/>
    <w:rsid w:val="006262B0"/>
    <w:rsid w:val="00627368"/>
    <w:rsid w:val="0063048B"/>
    <w:rsid w:val="00631709"/>
    <w:rsid w:val="00633332"/>
    <w:rsid w:val="0063337C"/>
    <w:rsid w:val="006343AF"/>
    <w:rsid w:val="006344D5"/>
    <w:rsid w:val="00634BA8"/>
    <w:rsid w:val="00634E41"/>
    <w:rsid w:val="0063634A"/>
    <w:rsid w:val="0063733E"/>
    <w:rsid w:val="006377D6"/>
    <w:rsid w:val="00640C1A"/>
    <w:rsid w:val="0064250D"/>
    <w:rsid w:val="00642C66"/>
    <w:rsid w:val="00644A4F"/>
    <w:rsid w:val="00647C07"/>
    <w:rsid w:val="00647E16"/>
    <w:rsid w:val="006509D7"/>
    <w:rsid w:val="006518BC"/>
    <w:rsid w:val="006535EB"/>
    <w:rsid w:val="00653C2A"/>
    <w:rsid w:val="00654464"/>
    <w:rsid w:val="006576FF"/>
    <w:rsid w:val="00657F95"/>
    <w:rsid w:val="00661DBF"/>
    <w:rsid w:val="00661F55"/>
    <w:rsid w:val="00662E0A"/>
    <w:rsid w:val="00663016"/>
    <w:rsid w:val="0066518A"/>
    <w:rsid w:val="00670437"/>
    <w:rsid w:val="00671343"/>
    <w:rsid w:val="00674605"/>
    <w:rsid w:val="006748B8"/>
    <w:rsid w:val="00675594"/>
    <w:rsid w:val="00676200"/>
    <w:rsid w:val="00676575"/>
    <w:rsid w:val="006770B2"/>
    <w:rsid w:val="006770D7"/>
    <w:rsid w:val="00681828"/>
    <w:rsid w:val="006818FA"/>
    <w:rsid w:val="006834F9"/>
    <w:rsid w:val="00684F11"/>
    <w:rsid w:val="0068535B"/>
    <w:rsid w:val="00685EF6"/>
    <w:rsid w:val="0068736E"/>
    <w:rsid w:val="00690360"/>
    <w:rsid w:val="00691002"/>
    <w:rsid w:val="006914D8"/>
    <w:rsid w:val="0069290A"/>
    <w:rsid w:val="006934F2"/>
    <w:rsid w:val="0069393C"/>
    <w:rsid w:val="00693CC6"/>
    <w:rsid w:val="0069472F"/>
    <w:rsid w:val="00697032"/>
    <w:rsid w:val="006975AC"/>
    <w:rsid w:val="006A1450"/>
    <w:rsid w:val="006A15FB"/>
    <w:rsid w:val="006A1652"/>
    <w:rsid w:val="006A1EE8"/>
    <w:rsid w:val="006A2448"/>
    <w:rsid w:val="006A2868"/>
    <w:rsid w:val="006A2BDF"/>
    <w:rsid w:val="006A33DB"/>
    <w:rsid w:val="006A3846"/>
    <w:rsid w:val="006A596C"/>
    <w:rsid w:val="006A6BCB"/>
    <w:rsid w:val="006A72BF"/>
    <w:rsid w:val="006B1046"/>
    <w:rsid w:val="006B1948"/>
    <w:rsid w:val="006B274C"/>
    <w:rsid w:val="006B2BE3"/>
    <w:rsid w:val="006B332A"/>
    <w:rsid w:val="006B33BD"/>
    <w:rsid w:val="006B35EA"/>
    <w:rsid w:val="006B5101"/>
    <w:rsid w:val="006B55D9"/>
    <w:rsid w:val="006B5AA2"/>
    <w:rsid w:val="006B5FBD"/>
    <w:rsid w:val="006B6F26"/>
    <w:rsid w:val="006C04B6"/>
    <w:rsid w:val="006C0A10"/>
    <w:rsid w:val="006C13B0"/>
    <w:rsid w:val="006C1A32"/>
    <w:rsid w:val="006C3326"/>
    <w:rsid w:val="006C37B9"/>
    <w:rsid w:val="006C3F75"/>
    <w:rsid w:val="006C615E"/>
    <w:rsid w:val="006D0A22"/>
    <w:rsid w:val="006D170E"/>
    <w:rsid w:val="006D1DA0"/>
    <w:rsid w:val="006D2DD7"/>
    <w:rsid w:val="006D32DA"/>
    <w:rsid w:val="006D40EA"/>
    <w:rsid w:val="006D5669"/>
    <w:rsid w:val="006D5E60"/>
    <w:rsid w:val="006E02D4"/>
    <w:rsid w:val="006E03E6"/>
    <w:rsid w:val="006E06AF"/>
    <w:rsid w:val="006E1591"/>
    <w:rsid w:val="006E172F"/>
    <w:rsid w:val="006E54F0"/>
    <w:rsid w:val="006E6453"/>
    <w:rsid w:val="006E73A3"/>
    <w:rsid w:val="006E7AAF"/>
    <w:rsid w:val="006E7D6D"/>
    <w:rsid w:val="006E7F16"/>
    <w:rsid w:val="006F0A9B"/>
    <w:rsid w:val="006F143C"/>
    <w:rsid w:val="006F1789"/>
    <w:rsid w:val="006F23A4"/>
    <w:rsid w:val="006F28B6"/>
    <w:rsid w:val="006F398E"/>
    <w:rsid w:val="006F3ABF"/>
    <w:rsid w:val="006F437C"/>
    <w:rsid w:val="006F5532"/>
    <w:rsid w:val="006F5BFF"/>
    <w:rsid w:val="0070041E"/>
    <w:rsid w:val="007005BB"/>
    <w:rsid w:val="0070237F"/>
    <w:rsid w:val="00702D9B"/>
    <w:rsid w:val="00702EB1"/>
    <w:rsid w:val="00703606"/>
    <w:rsid w:val="007048EC"/>
    <w:rsid w:val="00706186"/>
    <w:rsid w:val="00706C5D"/>
    <w:rsid w:val="0070770E"/>
    <w:rsid w:val="00710C6A"/>
    <w:rsid w:val="007118E6"/>
    <w:rsid w:val="00714038"/>
    <w:rsid w:val="007148E7"/>
    <w:rsid w:val="00716792"/>
    <w:rsid w:val="0071679C"/>
    <w:rsid w:val="007225C9"/>
    <w:rsid w:val="007226D2"/>
    <w:rsid w:val="00725FB4"/>
    <w:rsid w:val="00727C7E"/>
    <w:rsid w:val="0073193B"/>
    <w:rsid w:val="007336D0"/>
    <w:rsid w:val="00733BCB"/>
    <w:rsid w:val="0073407F"/>
    <w:rsid w:val="00734A80"/>
    <w:rsid w:val="00734EB2"/>
    <w:rsid w:val="00735CD7"/>
    <w:rsid w:val="00736056"/>
    <w:rsid w:val="00740E6B"/>
    <w:rsid w:val="007414F3"/>
    <w:rsid w:val="00741CCE"/>
    <w:rsid w:val="00742B50"/>
    <w:rsid w:val="0074369E"/>
    <w:rsid w:val="00744DEE"/>
    <w:rsid w:val="007459D8"/>
    <w:rsid w:val="00745DB9"/>
    <w:rsid w:val="00746873"/>
    <w:rsid w:val="007473A1"/>
    <w:rsid w:val="00750E41"/>
    <w:rsid w:val="00751708"/>
    <w:rsid w:val="00752084"/>
    <w:rsid w:val="00752A68"/>
    <w:rsid w:val="00752C0F"/>
    <w:rsid w:val="007538C0"/>
    <w:rsid w:val="00753B0D"/>
    <w:rsid w:val="00753EB1"/>
    <w:rsid w:val="00754034"/>
    <w:rsid w:val="00754284"/>
    <w:rsid w:val="00754BF1"/>
    <w:rsid w:val="00754C70"/>
    <w:rsid w:val="00755A30"/>
    <w:rsid w:val="00755CFA"/>
    <w:rsid w:val="00755E1C"/>
    <w:rsid w:val="00756556"/>
    <w:rsid w:val="0075656E"/>
    <w:rsid w:val="007565BB"/>
    <w:rsid w:val="0075712F"/>
    <w:rsid w:val="0075743E"/>
    <w:rsid w:val="0076132B"/>
    <w:rsid w:val="00761A0C"/>
    <w:rsid w:val="00761B6C"/>
    <w:rsid w:val="00761D3D"/>
    <w:rsid w:val="007623AE"/>
    <w:rsid w:val="00763103"/>
    <w:rsid w:val="0076402E"/>
    <w:rsid w:val="00764E58"/>
    <w:rsid w:val="007654D3"/>
    <w:rsid w:val="00766C59"/>
    <w:rsid w:val="00770B19"/>
    <w:rsid w:val="00771CBE"/>
    <w:rsid w:val="007740EE"/>
    <w:rsid w:val="00774FA0"/>
    <w:rsid w:val="00775409"/>
    <w:rsid w:val="00775568"/>
    <w:rsid w:val="00776620"/>
    <w:rsid w:val="00777B6D"/>
    <w:rsid w:val="00780523"/>
    <w:rsid w:val="00780F60"/>
    <w:rsid w:val="0078265D"/>
    <w:rsid w:val="00782900"/>
    <w:rsid w:val="00783616"/>
    <w:rsid w:val="00783C2C"/>
    <w:rsid w:val="00784855"/>
    <w:rsid w:val="00784F39"/>
    <w:rsid w:val="0078545C"/>
    <w:rsid w:val="0078582E"/>
    <w:rsid w:val="00785BFA"/>
    <w:rsid w:val="007862FD"/>
    <w:rsid w:val="00787152"/>
    <w:rsid w:val="00787406"/>
    <w:rsid w:val="007906C4"/>
    <w:rsid w:val="00790944"/>
    <w:rsid w:val="0079200F"/>
    <w:rsid w:val="007922DC"/>
    <w:rsid w:val="007937B0"/>
    <w:rsid w:val="007940EA"/>
    <w:rsid w:val="00794226"/>
    <w:rsid w:val="007967E8"/>
    <w:rsid w:val="00796CC4"/>
    <w:rsid w:val="007A15F7"/>
    <w:rsid w:val="007A1E1E"/>
    <w:rsid w:val="007A32BD"/>
    <w:rsid w:val="007A37B8"/>
    <w:rsid w:val="007A531D"/>
    <w:rsid w:val="007A588C"/>
    <w:rsid w:val="007A5AE6"/>
    <w:rsid w:val="007A63F2"/>
    <w:rsid w:val="007A641D"/>
    <w:rsid w:val="007B0AB8"/>
    <w:rsid w:val="007B0AD0"/>
    <w:rsid w:val="007B157B"/>
    <w:rsid w:val="007B2854"/>
    <w:rsid w:val="007B3144"/>
    <w:rsid w:val="007B4ABA"/>
    <w:rsid w:val="007B4D23"/>
    <w:rsid w:val="007B68DE"/>
    <w:rsid w:val="007B6A82"/>
    <w:rsid w:val="007B74FE"/>
    <w:rsid w:val="007C059A"/>
    <w:rsid w:val="007C1857"/>
    <w:rsid w:val="007C1B48"/>
    <w:rsid w:val="007C3C9F"/>
    <w:rsid w:val="007C3D68"/>
    <w:rsid w:val="007C4009"/>
    <w:rsid w:val="007C4AC3"/>
    <w:rsid w:val="007C514F"/>
    <w:rsid w:val="007C5758"/>
    <w:rsid w:val="007C5760"/>
    <w:rsid w:val="007C702E"/>
    <w:rsid w:val="007D0802"/>
    <w:rsid w:val="007D0C8C"/>
    <w:rsid w:val="007D0F95"/>
    <w:rsid w:val="007D2046"/>
    <w:rsid w:val="007D20AB"/>
    <w:rsid w:val="007D3321"/>
    <w:rsid w:val="007D44A5"/>
    <w:rsid w:val="007D458F"/>
    <w:rsid w:val="007D4CC4"/>
    <w:rsid w:val="007D64B0"/>
    <w:rsid w:val="007D7ECB"/>
    <w:rsid w:val="007E02F7"/>
    <w:rsid w:val="007E23E7"/>
    <w:rsid w:val="007E25A1"/>
    <w:rsid w:val="007E4BD2"/>
    <w:rsid w:val="007E59CD"/>
    <w:rsid w:val="007E5BE3"/>
    <w:rsid w:val="007E626C"/>
    <w:rsid w:val="007E7145"/>
    <w:rsid w:val="007E74FB"/>
    <w:rsid w:val="007F1E30"/>
    <w:rsid w:val="007F37D6"/>
    <w:rsid w:val="007F3916"/>
    <w:rsid w:val="007F4A77"/>
    <w:rsid w:val="00801179"/>
    <w:rsid w:val="0080129D"/>
    <w:rsid w:val="00802479"/>
    <w:rsid w:val="008026FB"/>
    <w:rsid w:val="00802851"/>
    <w:rsid w:val="00802F05"/>
    <w:rsid w:val="00805372"/>
    <w:rsid w:val="00805B7B"/>
    <w:rsid w:val="00806C34"/>
    <w:rsid w:val="00810A2F"/>
    <w:rsid w:val="00810D5F"/>
    <w:rsid w:val="00811598"/>
    <w:rsid w:val="0081293E"/>
    <w:rsid w:val="00813141"/>
    <w:rsid w:val="00813566"/>
    <w:rsid w:val="00814DD9"/>
    <w:rsid w:val="00814F43"/>
    <w:rsid w:val="00814FFB"/>
    <w:rsid w:val="00816543"/>
    <w:rsid w:val="0081743C"/>
    <w:rsid w:val="00817A79"/>
    <w:rsid w:val="0082020E"/>
    <w:rsid w:val="00820568"/>
    <w:rsid w:val="00821810"/>
    <w:rsid w:val="00821E69"/>
    <w:rsid w:val="00822193"/>
    <w:rsid w:val="008224EC"/>
    <w:rsid w:val="00822D47"/>
    <w:rsid w:val="008254CA"/>
    <w:rsid w:val="00827B3C"/>
    <w:rsid w:val="00830CBE"/>
    <w:rsid w:val="00831A80"/>
    <w:rsid w:val="00831BA0"/>
    <w:rsid w:val="008332C8"/>
    <w:rsid w:val="00833743"/>
    <w:rsid w:val="00833A6F"/>
    <w:rsid w:val="00833F13"/>
    <w:rsid w:val="008340A4"/>
    <w:rsid w:val="00834330"/>
    <w:rsid w:val="00834EBB"/>
    <w:rsid w:val="00836799"/>
    <w:rsid w:val="008367FF"/>
    <w:rsid w:val="008368AA"/>
    <w:rsid w:val="00837028"/>
    <w:rsid w:val="00837127"/>
    <w:rsid w:val="00837131"/>
    <w:rsid w:val="00840FEA"/>
    <w:rsid w:val="00841DB5"/>
    <w:rsid w:val="00842274"/>
    <w:rsid w:val="00842D7F"/>
    <w:rsid w:val="00845F57"/>
    <w:rsid w:val="008460AC"/>
    <w:rsid w:val="00846FE2"/>
    <w:rsid w:val="008471AF"/>
    <w:rsid w:val="008506A1"/>
    <w:rsid w:val="008521E0"/>
    <w:rsid w:val="0085241D"/>
    <w:rsid w:val="008525B0"/>
    <w:rsid w:val="00854020"/>
    <w:rsid w:val="008549DB"/>
    <w:rsid w:val="008554DD"/>
    <w:rsid w:val="00856683"/>
    <w:rsid w:val="008568F4"/>
    <w:rsid w:val="008576B8"/>
    <w:rsid w:val="0086258B"/>
    <w:rsid w:val="00863B78"/>
    <w:rsid w:val="008648EC"/>
    <w:rsid w:val="008673CC"/>
    <w:rsid w:val="00867B17"/>
    <w:rsid w:val="00867CBC"/>
    <w:rsid w:val="00870CB8"/>
    <w:rsid w:val="00872CBA"/>
    <w:rsid w:val="008740C0"/>
    <w:rsid w:val="00876C30"/>
    <w:rsid w:val="00877017"/>
    <w:rsid w:val="008773C0"/>
    <w:rsid w:val="00877BAD"/>
    <w:rsid w:val="00880364"/>
    <w:rsid w:val="00880B2E"/>
    <w:rsid w:val="0088116A"/>
    <w:rsid w:val="00882371"/>
    <w:rsid w:val="00886C4C"/>
    <w:rsid w:val="0088711C"/>
    <w:rsid w:val="008874DE"/>
    <w:rsid w:val="00892065"/>
    <w:rsid w:val="0089298D"/>
    <w:rsid w:val="00892DE9"/>
    <w:rsid w:val="00892ECF"/>
    <w:rsid w:val="00892F06"/>
    <w:rsid w:val="00893806"/>
    <w:rsid w:val="00893C86"/>
    <w:rsid w:val="00894285"/>
    <w:rsid w:val="00895D18"/>
    <w:rsid w:val="00896202"/>
    <w:rsid w:val="008A07D2"/>
    <w:rsid w:val="008A25ED"/>
    <w:rsid w:val="008A284D"/>
    <w:rsid w:val="008A2B44"/>
    <w:rsid w:val="008A2CF6"/>
    <w:rsid w:val="008A3E09"/>
    <w:rsid w:val="008A40AE"/>
    <w:rsid w:val="008A4882"/>
    <w:rsid w:val="008A4E19"/>
    <w:rsid w:val="008A67C5"/>
    <w:rsid w:val="008B17FE"/>
    <w:rsid w:val="008B22E1"/>
    <w:rsid w:val="008B254E"/>
    <w:rsid w:val="008B3C78"/>
    <w:rsid w:val="008B4AE9"/>
    <w:rsid w:val="008B50E4"/>
    <w:rsid w:val="008B5101"/>
    <w:rsid w:val="008B5658"/>
    <w:rsid w:val="008C2482"/>
    <w:rsid w:val="008C30AD"/>
    <w:rsid w:val="008C3972"/>
    <w:rsid w:val="008C4948"/>
    <w:rsid w:val="008C4C79"/>
    <w:rsid w:val="008C5250"/>
    <w:rsid w:val="008C5525"/>
    <w:rsid w:val="008C5B05"/>
    <w:rsid w:val="008C6D65"/>
    <w:rsid w:val="008C7254"/>
    <w:rsid w:val="008C7C52"/>
    <w:rsid w:val="008D068E"/>
    <w:rsid w:val="008D0F7A"/>
    <w:rsid w:val="008D19BB"/>
    <w:rsid w:val="008D289D"/>
    <w:rsid w:val="008D3551"/>
    <w:rsid w:val="008D5501"/>
    <w:rsid w:val="008D5A22"/>
    <w:rsid w:val="008D5B01"/>
    <w:rsid w:val="008D5B69"/>
    <w:rsid w:val="008D624C"/>
    <w:rsid w:val="008D63BE"/>
    <w:rsid w:val="008D74BD"/>
    <w:rsid w:val="008E0772"/>
    <w:rsid w:val="008E0CFF"/>
    <w:rsid w:val="008E1496"/>
    <w:rsid w:val="008E3EE4"/>
    <w:rsid w:val="008E3F9B"/>
    <w:rsid w:val="008E40C6"/>
    <w:rsid w:val="008E4F7B"/>
    <w:rsid w:val="008E5A2F"/>
    <w:rsid w:val="008E5D6B"/>
    <w:rsid w:val="008E689B"/>
    <w:rsid w:val="008E7022"/>
    <w:rsid w:val="008E76F0"/>
    <w:rsid w:val="008F0D1C"/>
    <w:rsid w:val="008F0D9D"/>
    <w:rsid w:val="008F15FE"/>
    <w:rsid w:val="008F1A1F"/>
    <w:rsid w:val="008F2A94"/>
    <w:rsid w:val="008F2E27"/>
    <w:rsid w:val="008F5187"/>
    <w:rsid w:val="008F64D5"/>
    <w:rsid w:val="008F6817"/>
    <w:rsid w:val="008F6B90"/>
    <w:rsid w:val="008F709C"/>
    <w:rsid w:val="00900CCC"/>
    <w:rsid w:val="0090312B"/>
    <w:rsid w:val="009031F8"/>
    <w:rsid w:val="00904961"/>
    <w:rsid w:val="00907E36"/>
    <w:rsid w:val="009115A3"/>
    <w:rsid w:val="0091736D"/>
    <w:rsid w:val="00921237"/>
    <w:rsid w:val="009236CF"/>
    <w:rsid w:val="00923BA5"/>
    <w:rsid w:val="0092416A"/>
    <w:rsid w:val="00924E53"/>
    <w:rsid w:val="00925634"/>
    <w:rsid w:val="0092592E"/>
    <w:rsid w:val="00925CC0"/>
    <w:rsid w:val="009302E6"/>
    <w:rsid w:val="00930ACD"/>
    <w:rsid w:val="00930F4E"/>
    <w:rsid w:val="00931001"/>
    <w:rsid w:val="009317D4"/>
    <w:rsid w:val="00931863"/>
    <w:rsid w:val="00933524"/>
    <w:rsid w:val="0094043A"/>
    <w:rsid w:val="0094278D"/>
    <w:rsid w:val="00943B62"/>
    <w:rsid w:val="00944580"/>
    <w:rsid w:val="00944970"/>
    <w:rsid w:val="00944C32"/>
    <w:rsid w:val="00944E0D"/>
    <w:rsid w:val="0094740D"/>
    <w:rsid w:val="009506F2"/>
    <w:rsid w:val="00951FEE"/>
    <w:rsid w:val="009527FE"/>
    <w:rsid w:val="009529F2"/>
    <w:rsid w:val="0095308A"/>
    <w:rsid w:val="00953598"/>
    <w:rsid w:val="009550DB"/>
    <w:rsid w:val="00955AEE"/>
    <w:rsid w:val="009561B9"/>
    <w:rsid w:val="00956F14"/>
    <w:rsid w:val="009579EA"/>
    <w:rsid w:val="0096013A"/>
    <w:rsid w:val="009611F5"/>
    <w:rsid w:val="00961861"/>
    <w:rsid w:val="009620FD"/>
    <w:rsid w:val="0096247A"/>
    <w:rsid w:val="009629EF"/>
    <w:rsid w:val="00962FBF"/>
    <w:rsid w:val="00963CB8"/>
    <w:rsid w:val="0096419B"/>
    <w:rsid w:val="00965F4B"/>
    <w:rsid w:val="00966806"/>
    <w:rsid w:val="00967312"/>
    <w:rsid w:val="00967793"/>
    <w:rsid w:val="00970F8A"/>
    <w:rsid w:val="0097115D"/>
    <w:rsid w:val="009713FE"/>
    <w:rsid w:val="00971FB5"/>
    <w:rsid w:val="00972D2A"/>
    <w:rsid w:val="00973B4D"/>
    <w:rsid w:val="00973E4B"/>
    <w:rsid w:val="009741CE"/>
    <w:rsid w:val="0097495F"/>
    <w:rsid w:val="009755A5"/>
    <w:rsid w:val="00975CC5"/>
    <w:rsid w:val="00976328"/>
    <w:rsid w:val="00976B4E"/>
    <w:rsid w:val="009777E8"/>
    <w:rsid w:val="0098036C"/>
    <w:rsid w:val="00980F4E"/>
    <w:rsid w:val="009813B0"/>
    <w:rsid w:val="00983E49"/>
    <w:rsid w:val="009840A4"/>
    <w:rsid w:val="00984458"/>
    <w:rsid w:val="0098456B"/>
    <w:rsid w:val="00985283"/>
    <w:rsid w:val="00986836"/>
    <w:rsid w:val="009871A3"/>
    <w:rsid w:val="00987322"/>
    <w:rsid w:val="00990268"/>
    <w:rsid w:val="00990556"/>
    <w:rsid w:val="0099063B"/>
    <w:rsid w:val="0099147C"/>
    <w:rsid w:val="00995B51"/>
    <w:rsid w:val="00996830"/>
    <w:rsid w:val="0099780F"/>
    <w:rsid w:val="00997B2D"/>
    <w:rsid w:val="009A0F10"/>
    <w:rsid w:val="009A0F3B"/>
    <w:rsid w:val="009A159C"/>
    <w:rsid w:val="009A2DDC"/>
    <w:rsid w:val="009A4F06"/>
    <w:rsid w:val="009A50EB"/>
    <w:rsid w:val="009A72C7"/>
    <w:rsid w:val="009A736D"/>
    <w:rsid w:val="009A773E"/>
    <w:rsid w:val="009B00A3"/>
    <w:rsid w:val="009B0897"/>
    <w:rsid w:val="009B344C"/>
    <w:rsid w:val="009B423B"/>
    <w:rsid w:val="009B45A1"/>
    <w:rsid w:val="009B5C93"/>
    <w:rsid w:val="009B7712"/>
    <w:rsid w:val="009C0468"/>
    <w:rsid w:val="009C0655"/>
    <w:rsid w:val="009C0F49"/>
    <w:rsid w:val="009C35E1"/>
    <w:rsid w:val="009C3CD4"/>
    <w:rsid w:val="009C3FA7"/>
    <w:rsid w:val="009C4679"/>
    <w:rsid w:val="009C6A0B"/>
    <w:rsid w:val="009C76A3"/>
    <w:rsid w:val="009D0852"/>
    <w:rsid w:val="009D1FBF"/>
    <w:rsid w:val="009D3229"/>
    <w:rsid w:val="009D32BD"/>
    <w:rsid w:val="009D3649"/>
    <w:rsid w:val="009D3CF5"/>
    <w:rsid w:val="009D5219"/>
    <w:rsid w:val="009D6C2E"/>
    <w:rsid w:val="009E01F1"/>
    <w:rsid w:val="009E1425"/>
    <w:rsid w:val="009E399C"/>
    <w:rsid w:val="009E3FE4"/>
    <w:rsid w:val="009E43C1"/>
    <w:rsid w:val="009E72D2"/>
    <w:rsid w:val="009E770A"/>
    <w:rsid w:val="009E7E95"/>
    <w:rsid w:val="009F0530"/>
    <w:rsid w:val="009F0798"/>
    <w:rsid w:val="009F116F"/>
    <w:rsid w:val="009F215F"/>
    <w:rsid w:val="009F2187"/>
    <w:rsid w:val="009F2788"/>
    <w:rsid w:val="009F2AE0"/>
    <w:rsid w:val="009F329E"/>
    <w:rsid w:val="009F3E7F"/>
    <w:rsid w:val="009F47EB"/>
    <w:rsid w:val="009F5C55"/>
    <w:rsid w:val="009F6A4B"/>
    <w:rsid w:val="009F7ED3"/>
    <w:rsid w:val="00A03607"/>
    <w:rsid w:val="00A03A49"/>
    <w:rsid w:val="00A03F57"/>
    <w:rsid w:val="00A041F9"/>
    <w:rsid w:val="00A047FF"/>
    <w:rsid w:val="00A04FEF"/>
    <w:rsid w:val="00A05D3B"/>
    <w:rsid w:val="00A06418"/>
    <w:rsid w:val="00A06771"/>
    <w:rsid w:val="00A06D34"/>
    <w:rsid w:val="00A072FB"/>
    <w:rsid w:val="00A10375"/>
    <w:rsid w:val="00A10806"/>
    <w:rsid w:val="00A122CD"/>
    <w:rsid w:val="00A12A32"/>
    <w:rsid w:val="00A1373A"/>
    <w:rsid w:val="00A14248"/>
    <w:rsid w:val="00A14947"/>
    <w:rsid w:val="00A1558A"/>
    <w:rsid w:val="00A16950"/>
    <w:rsid w:val="00A16C7A"/>
    <w:rsid w:val="00A17DF8"/>
    <w:rsid w:val="00A210E0"/>
    <w:rsid w:val="00A21674"/>
    <w:rsid w:val="00A22651"/>
    <w:rsid w:val="00A23DC5"/>
    <w:rsid w:val="00A23FF9"/>
    <w:rsid w:val="00A24A93"/>
    <w:rsid w:val="00A24FFC"/>
    <w:rsid w:val="00A25231"/>
    <w:rsid w:val="00A26110"/>
    <w:rsid w:val="00A27578"/>
    <w:rsid w:val="00A3055C"/>
    <w:rsid w:val="00A31D4C"/>
    <w:rsid w:val="00A34028"/>
    <w:rsid w:val="00A35568"/>
    <w:rsid w:val="00A36E4A"/>
    <w:rsid w:val="00A37056"/>
    <w:rsid w:val="00A37C32"/>
    <w:rsid w:val="00A37D37"/>
    <w:rsid w:val="00A40AED"/>
    <w:rsid w:val="00A411E1"/>
    <w:rsid w:val="00A42003"/>
    <w:rsid w:val="00A43235"/>
    <w:rsid w:val="00A4358F"/>
    <w:rsid w:val="00A44051"/>
    <w:rsid w:val="00A443C0"/>
    <w:rsid w:val="00A443F9"/>
    <w:rsid w:val="00A44C2B"/>
    <w:rsid w:val="00A46F67"/>
    <w:rsid w:val="00A50A51"/>
    <w:rsid w:val="00A515DE"/>
    <w:rsid w:val="00A52533"/>
    <w:rsid w:val="00A52E8B"/>
    <w:rsid w:val="00A53D76"/>
    <w:rsid w:val="00A546CD"/>
    <w:rsid w:val="00A54AA1"/>
    <w:rsid w:val="00A553AA"/>
    <w:rsid w:val="00A55708"/>
    <w:rsid w:val="00A5607D"/>
    <w:rsid w:val="00A568FF"/>
    <w:rsid w:val="00A57C96"/>
    <w:rsid w:val="00A60C36"/>
    <w:rsid w:val="00A61496"/>
    <w:rsid w:val="00A617AC"/>
    <w:rsid w:val="00A61833"/>
    <w:rsid w:val="00A624C6"/>
    <w:rsid w:val="00A6287D"/>
    <w:rsid w:val="00A6291E"/>
    <w:rsid w:val="00A62F08"/>
    <w:rsid w:val="00A63298"/>
    <w:rsid w:val="00A6336F"/>
    <w:rsid w:val="00A636A8"/>
    <w:rsid w:val="00A63CEC"/>
    <w:rsid w:val="00A6565A"/>
    <w:rsid w:val="00A7031E"/>
    <w:rsid w:val="00A714E5"/>
    <w:rsid w:val="00A728B1"/>
    <w:rsid w:val="00A733B4"/>
    <w:rsid w:val="00A73625"/>
    <w:rsid w:val="00A74D42"/>
    <w:rsid w:val="00A7547F"/>
    <w:rsid w:val="00A7593F"/>
    <w:rsid w:val="00A760AE"/>
    <w:rsid w:val="00A763DE"/>
    <w:rsid w:val="00A76B8C"/>
    <w:rsid w:val="00A7729F"/>
    <w:rsid w:val="00A779E1"/>
    <w:rsid w:val="00A803D6"/>
    <w:rsid w:val="00A81282"/>
    <w:rsid w:val="00A82937"/>
    <w:rsid w:val="00A84E77"/>
    <w:rsid w:val="00A85E37"/>
    <w:rsid w:val="00A86672"/>
    <w:rsid w:val="00A86D74"/>
    <w:rsid w:val="00A8713F"/>
    <w:rsid w:val="00A87400"/>
    <w:rsid w:val="00A9099D"/>
    <w:rsid w:val="00A91167"/>
    <w:rsid w:val="00A913B1"/>
    <w:rsid w:val="00A9171C"/>
    <w:rsid w:val="00A91D5A"/>
    <w:rsid w:val="00A928CD"/>
    <w:rsid w:val="00A9290E"/>
    <w:rsid w:val="00A92FFD"/>
    <w:rsid w:val="00A94D95"/>
    <w:rsid w:val="00A955B0"/>
    <w:rsid w:val="00A95975"/>
    <w:rsid w:val="00A9708D"/>
    <w:rsid w:val="00A974DE"/>
    <w:rsid w:val="00A97D74"/>
    <w:rsid w:val="00AA0429"/>
    <w:rsid w:val="00AA1715"/>
    <w:rsid w:val="00AA23FD"/>
    <w:rsid w:val="00AA2AAA"/>
    <w:rsid w:val="00AA2C17"/>
    <w:rsid w:val="00AA3CEC"/>
    <w:rsid w:val="00AA4172"/>
    <w:rsid w:val="00AA4EBD"/>
    <w:rsid w:val="00AA557F"/>
    <w:rsid w:val="00AA6C34"/>
    <w:rsid w:val="00AA746E"/>
    <w:rsid w:val="00AA7A1B"/>
    <w:rsid w:val="00AB01DE"/>
    <w:rsid w:val="00AB109A"/>
    <w:rsid w:val="00AB1914"/>
    <w:rsid w:val="00AB1DBB"/>
    <w:rsid w:val="00AB2317"/>
    <w:rsid w:val="00AB5129"/>
    <w:rsid w:val="00AB5330"/>
    <w:rsid w:val="00AB5454"/>
    <w:rsid w:val="00AB5781"/>
    <w:rsid w:val="00AB57B0"/>
    <w:rsid w:val="00AB6A1F"/>
    <w:rsid w:val="00AB7747"/>
    <w:rsid w:val="00AB78FC"/>
    <w:rsid w:val="00AC0E44"/>
    <w:rsid w:val="00AC15FD"/>
    <w:rsid w:val="00AC16C9"/>
    <w:rsid w:val="00AC2532"/>
    <w:rsid w:val="00AC6FCB"/>
    <w:rsid w:val="00AC71ED"/>
    <w:rsid w:val="00AD1507"/>
    <w:rsid w:val="00AD1C6E"/>
    <w:rsid w:val="00AD3548"/>
    <w:rsid w:val="00AD4D31"/>
    <w:rsid w:val="00AD5A70"/>
    <w:rsid w:val="00AD6C0C"/>
    <w:rsid w:val="00AD738B"/>
    <w:rsid w:val="00AD7474"/>
    <w:rsid w:val="00AD7FEA"/>
    <w:rsid w:val="00AE1BF4"/>
    <w:rsid w:val="00AE361A"/>
    <w:rsid w:val="00AE3BC4"/>
    <w:rsid w:val="00AE441A"/>
    <w:rsid w:val="00AE5D97"/>
    <w:rsid w:val="00AE6230"/>
    <w:rsid w:val="00AE62D6"/>
    <w:rsid w:val="00AE656E"/>
    <w:rsid w:val="00AE6794"/>
    <w:rsid w:val="00AE6FB0"/>
    <w:rsid w:val="00AE7166"/>
    <w:rsid w:val="00AE7C3A"/>
    <w:rsid w:val="00AE7C9C"/>
    <w:rsid w:val="00AF0A8F"/>
    <w:rsid w:val="00AF1530"/>
    <w:rsid w:val="00AF1906"/>
    <w:rsid w:val="00AF3C84"/>
    <w:rsid w:val="00AF489B"/>
    <w:rsid w:val="00AF49D7"/>
    <w:rsid w:val="00AF4B13"/>
    <w:rsid w:val="00AF597C"/>
    <w:rsid w:val="00AF6012"/>
    <w:rsid w:val="00AF6417"/>
    <w:rsid w:val="00AF6755"/>
    <w:rsid w:val="00AF678F"/>
    <w:rsid w:val="00B01110"/>
    <w:rsid w:val="00B015D1"/>
    <w:rsid w:val="00B02262"/>
    <w:rsid w:val="00B02D2D"/>
    <w:rsid w:val="00B0372A"/>
    <w:rsid w:val="00B03CEC"/>
    <w:rsid w:val="00B044AD"/>
    <w:rsid w:val="00B0474A"/>
    <w:rsid w:val="00B1209F"/>
    <w:rsid w:val="00B12AD0"/>
    <w:rsid w:val="00B13746"/>
    <w:rsid w:val="00B1419A"/>
    <w:rsid w:val="00B14EA0"/>
    <w:rsid w:val="00B15A9B"/>
    <w:rsid w:val="00B15DE2"/>
    <w:rsid w:val="00B163C6"/>
    <w:rsid w:val="00B16EF7"/>
    <w:rsid w:val="00B1731B"/>
    <w:rsid w:val="00B21702"/>
    <w:rsid w:val="00B2232E"/>
    <w:rsid w:val="00B22878"/>
    <w:rsid w:val="00B2325F"/>
    <w:rsid w:val="00B24B93"/>
    <w:rsid w:val="00B24F30"/>
    <w:rsid w:val="00B24F3C"/>
    <w:rsid w:val="00B2547D"/>
    <w:rsid w:val="00B2574C"/>
    <w:rsid w:val="00B266B9"/>
    <w:rsid w:val="00B26D4B"/>
    <w:rsid w:val="00B300B0"/>
    <w:rsid w:val="00B31ABF"/>
    <w:rsid w:val="00B31E6B"/>
    <w:rsid w:val="00B32BA4"/>
    <w:rsid w:val="00B3304D"/>
    <w:rsid w:val="00B335AE"/>
    <w:rsid w:val="00B35BCB"/>
    <w:rsid w:val="00B37CE1"/>
    <w:rsid w:val="00B4019F"/>
    <w:rsid w:val="00B40ACF"/>
    <w:rsid w:val="00B41429"/>
    <w:rsid w:val="00B41C3C"/>
    <w:rsid w:val="00B43B7D"/>
    <w:rsid w:val="00B43EE7"/>
    <w:rsid w:val="00B46909"/>
    <w:rsid w:val="00B46BAA"/>
    <w:rsid w:val="00B46E13"/>
    <w:rsid w:val="00B46ED0"/>
    <w:rsid w:val="00B4799B"/>
    <w:rsid w:val="00B50B5F"/>
    <w:rsid w:val="00B50EE9"/>
    <w:rsid w:val="00B515AE"/>
    <w:rsid w:val="00B53191"/>
    <w:rsid w:val="00B53305"/>
    <w:rsid w:val="00B53ED5"/>
    <w:rsid w:val="00B54128"/>
    <w:rsid w:val="00B55826"/>
    <w:rsid w:val="00B579D9"/>
    <w:rsid w:val="00B57BD5"/>
    <w:rsid w:val="00B60426"/>
    <w:rsid w:val="00B60964"/>
    <w:rsid w:val="00B611E4"/>
    <w:rsid w:val="00B622DD"/>
    <w:rsid w:val="00B63522"/>
    <w:rsid w:val="00B67740"/>
    <w:rsid w:val="00B707D6"/>
    <w:rsid w:val="00B7222A"/>
    <w:rsid w:val="00B72712"/>
    <w:rsid w:val="00B744BE"/>
    <w:rsid w:val="00B756FF"/>
    <w:rsid w:val="00B757DF"/>
    <w:rsid w:val="00B76E19"/>
    <w:rsid w:val="00B76F1D"/>
    <w:rsid w:val="00B80608"/>
    <w:rsid w:val="00B80ADF"/>
    <w:rsid w:val="00B81453"/>
    <w:rsid w:val="00B81C78"/>
    <w:rsid w:val="00B8280F"/>
    <w:rsid w:val="00B83B3A"/>
    <w:rsid w:val="00B8411F"/>
    <w:rsid w:val="00B8567B"/>
    <w:rsid w:val="00B8620C"/>
    <w:rsid w:val="00B86C04"/>
    <w:rsid w:val="00B87D4A"/>
    <w:rsid w:val="00B90FE8"/>
    <w:rsid w:val="00B922EC"/>
    <w:rsid w:val="00B923AB"/>
    <w:rsid w:val="00B92A19"/>
    <w:rsid w:val="00B93F97"/>
    <w:rsid w:val="00B9544C"/>
    <w:rsid w:val="00B9559C"/>
    <w:rsid w:val="00B96807"/>
    <w:rsid w:val="00BA1713"/>
    <w:rsid w:val="00BA29E9"/>
    <w:rsid w:val="00BA5837"/>
    <w:rsid w:val="00BA72A3"/>
    <w:rsid w:val="00BA732C"/>
    <w:rsid w:val="00BA7825"/>
    <w:rsid w:val="00BB1819"/>
    <w:rsid w:val="00BB305A"/>
    <w:rsid w:val="00BB3618"/>
    <w:rsid w:val="00BB41AF"/>
    <w:rsid w:val="00BB52B5"/>
    <w:rsid w:val="00BB550B"/>
    <w:rsid w:val="00BB5D1B"/>
    <w:rsid w:val="00BB6465"/>
    <w:rsid w:val="00BB6B65"/>
    <w:rsid w:val="00BC03EA"/>
    <w:rsid w:val="00BC050C"/>
    <w:rsid w:val="00BC07BB"/>
    <w:rsid w:val="00BC0C9E"/>
    <w:rsid w:val="00BC2BDB"/>
    <w:rsid w:val="00BC32DC"/>
    <w:rsid w:val="00BC723A"/>
    <w:rsid w:val="00BD19CB"/>
    <w:rsid w:val="00BD1B51"/>
    <w:rsid w:val="00BD210C"/>
    <w:rsid w:val="00BD26A0"/>
    <w:rsid w:val="00BD47F6"/>
    <w:rsid w:val="00BD4E13"/>
    <w:rsid w:val="00BD5F3C"/>
    <w:rsid w:val="00BE0123"/>
    <w:rsid w:val="00BE312D"/>
    <w:rsid w:val="00BE3846"/>
    <w:rsid w:val="00BE3AF0"/>
    <w:rsid w:val="00BE3FCA"/>
    <w:rsid w:val="00BE49A1"/>
    <w:rsid w:val="00BE541A"/>
    <w:rsid w:val="00BE5437"/>
    <w:rsid w:val="00BE5A04"/>
    <w:rsid w:val="00BE5E27"/>
    <w:rsid w:val="00BE6166"/>
    <w:rsid w:val="00BE7303"/>
    <w:rsid w:val="00BF0240"/>
    <w:rsid w:val="00BF1F49"/>
    <w:rsid w:val="00BF4E9F"/>
    <w:rsid w:val="00BF7251"/>
    <w:rsid w:val="00C01498"/>
    <w:rsid w:val="00C020C8"/>
    <w:rsid w:val="00C02EAD"/>
    <w:rsid w:val="00C03659"/>
    <w:rsid w:val="00C04636"/>
    <w:rsid w:val="00C046A1"/>
    <w:rsid w:val="00C05719"/>
    <w:rsid w:val="00C05B6D"/>
    <w:rsid w:val="00C0689D"/>
    <w:rsid w:val="00C10578"/>
    <w:rsid w:val="00C12F79"/>
    <w:rsid w:val="00C13287"/>
    <w:rsid w:val="00C14E46"/>
    <w:rsid w:val="00C15546"/>
    <w:rsid w:val="00C16B72"/>
    <w:rsid w:val="00C17D62"/>
    <w:rsid w:val="00C20AEE"/>
    <w:rsid w:val="00C21093"/>
    <w:rsid w:val="00C21FDC"/>
    <w:rsid w:val="00C236E9"/>
    <w:rsid w:val="00C24A0F"/>
    <w:rsid w:val="00C24EE7"/>
    <w:rsid w:val="00C25790"/>
    <w:rsid w:val="00C2596A"/>
    <w:rsid w:val="00C25C55"/>
    <w:rsid w:val="00C26580"/>
    <w:rsid w:val="00C26F9F"/>
    <w:rsid w:val="00C271BE"/>
    <w:rsid w:val="00C27425"/>
    <w:rsid w:val="00C27A80"/>
    <w:rsid w:val="00C27DE7"/>
    <w:rsid w:val="00C27E51"/>
    <w:rsid w:val="00C30398"/>
    <w:rsid w:val="00C306A4"/>
    <w:rsid w:val="00C30BAF"/>
    <w:rsid w:val="00C31178"/>
    <w:rsid w:val="00C3288C"/>
    <w:rsid w:val="00C328FE"/>
    <w:rsid w:val="00C3292C"/>
    <w:rsid w:val="00C3298A"/>
    <w:rsid w:val="00C33A05"/>
    <w:rsid w:val="00C36D77"/>
    <w:rsid w:val="00C37482"/>
    <w:rsid w:val="00C37941"/>
    <w:rsid w:val="00C413D8"/>
    <w:rsid w:val="00C41CAE"/>
    <w:rsid w:val="00C423EA"/>
    <w:rsid w:val="00C42500"/>
    <w:rsid w:val="00C425A1"/>
    <w:rsid w:val="00C42A62"/>
    <w:rsid w:val="00C4326D"/>
    <w:rsid w:val="00C437DC"/>
    <w:rsid w:val="00C439C8"/>
    <w:rsid w:val="00C4409D"/>
    <w:rsid w:val="00C44513"/>
    <w:rsid w:val="00C455BE"/>
    <w:rsid w:val="00C479D0"/>
    <w:rsid w:val="00C47E91"/>
    <w:rsid w:val="00C510CA"/>
    <w:rsid w:val="00C51E5F"/>
    <w:rsid w:val="00C52628"/>
    <w:rsid w:val="00C526DC"/>
    <w:rsid w:val="00C53081"/>
    <w:rsid w:val="00C5368C"/>
    <w:rsid w:val="00C53B1A"/>
    <w:rsid w:val="00C55E86"/>
    <w:rsid w:val="00C6062C"/>
    <w:rsid w:val="00C611D4"/>
    <w:rsid w:val="00C61491"/>
    <w:rsid w:val="00C61E4B"/>
    <w:rsid w:val="00C62E3A"/>
    <w:rsid w:val="00C62E5B"/>
    <w:rsid w:val="00C6319C"/>
    <w:rsid w:val="00C633F1"/>
    <w:rsid w:val="00C63655"/>
    <w:rsid w:val="00C63FFC"/>
    <w:rsid w:val="00C64503"/>
    <w:rsid w:val="00C6486A"/>
    <w:rsid w:val="00C64A1F"/>
    <w:rsid w:val="00C64BFF"/>
    <w:rsid w:val="00C6661E"/>
    <w:rsid w:val="00C70AC4"/>
    <w:rsid w:val="00C7108C"/>
    <w:rsid w:val="00C713AA"/>
    <w:rsid w:val="00C722DE"/>
    <w:rsid w:val="00C73D16"/>
    <w:rsid w:val="00C74386"/>
    <w:rsid w:val="00C76213"/>
    <w:rsid w:val="00C76377"/>
    <w:rsid w:val="00C763C9"/>
    <w:rsid w:val="00C778EC"/>
    <w:rsid w:val="00C80057"/>
    <w:rsid w:val="00C81345"/>
    <w:rsid w:val="00C82980"/>
    <w:rsid w:val="00C82C79"/>
    <w:rsid w:val="00C83BE7"/>
    <w:rsid w:val="00C843E9"/>
    <w:rsid w:val="00C84554"/>
    <w:rsid w:val="00C84753"/>
    <w:rsid w:val="00C85536"/>
    <w:rsid w:val="00C85AA6"/>
    <w:rsid w:val="00C86005"/>
    <w:rsid w:val="00C87167"/>
    <w:rsid w:val="00C87284"/>
    <w:rsid w:val="00C91611"/>
    <w:rsid w:val="00C91DA7"/>
    <w:rsid w:val="00C9220A"/>
    <w:rsid w:val="00C94059"/>
    <w:rsid w:val="00C95566"/>
    <w:rsid w:val="00C96DBE"/>
    <w:rsid w:val="00C97080"/>
    <w:rsid w:val="00CA2998"/>
    <w:rsid w:val="00CA2E4B"/>
    <w:rsid w:val="00CA3585"/>
    <w:rsid w:val="00CA3D5A"/>
    <w:rsid w:val="00CA4C7C"/>
    <w:rsid w:val="00CA507A"/>
    <w:rsid w:val="00CA640A"/>
    <w:rsid w:val="00CA7C12"/>
    <w:rsid w:val="00CB0183"/>
    <w:rsid w:val="00CB077E"/>
    <w:rsid w:val="00CB11CC"/>
    <w:rsid w:val="00CB1EA3"/>
    <w:rsid w:val="00CB3042"/>
    <w:rsid w:val="00CB42A5"/>
    <w:rsid w:val="00CB4609"/>
    <w:rsid w:val="00CB4BFE"/>
    <w:rsid w:val="00CB552C"/>
    <w:rsid w:val="00CB6A9E"/>
    <w:rsid w:val="00CB6BEB"/>
    <w:rsid w:val="00CC0465"/>
    <w:rsid w:val="00CC0AC5"/>
    <w:rsid w:val="00CC211B"/>
    <w:rsid w:val="00CC4CC0"/>
    <w:rsid w:val="00CC501F"/>
    <w:rsid w:val="00CC51CF"/>
    <w:rsid w:val="00CC6181"/>
    <w:rsid w:val="00CC7147"/>
    <w:rsid w:val="00CD0C7D"/>
    <w:rsid w:val="00CD0FCF"/>
    <w:rsid w:val="00CD2BCD"/>
    <w:rsid w:val="00CD36AA"/>
    <w:rsid w:val="00CD3791"/>
    <w:rsid w:val="00CD3D7B"/>
    <w:rsid w:val="00CD3F7A"/>
    <w:rsid w:val="00CD57AE"/>
    <w:rsid w:val="00CD65B0"/>
    <w:rsid w:val="00CD6842"/>
    <w:rsid w:val="00CD75F0"/>
    <w:rsid w:val="00CD7B1A"/>
    <w:rsid w:val="00CE02CD"/>
    <w:rsid w:val="00CE0676"/>
    <w:rsid w:val="00CE10E9"/>
    <w:rsid w:val="00CE174C"/>
    <w:rsid w:val="00CE35FC"/>
    <w:rsid w:val="00CE43B9"/>
    <w:rsid w:val="00CE4F2B"/>
    <w:rsid w:val="00CE5F86"/>
    <w:rsid w:val="00CF093D"/>
    <w:rsid w:val="00CF18E9"/>
    <w:rsid w:val="00CF2535"/>
    <w:rsid w:val="00CF2BA2"/>
    <w:rsid w:val="00CF2D84"/>
    <w:rsid w:val="00CF48FC"/>
    <w:rsid w:val="00CF5B2A"/>
    <w:rsid w:val="00CF5BEC"/>
    <w:rsid w:val="00CF7B7E"/>
    <w:rsid w:val="00D0072E"/>
    <w:rsid w:val="00D013D3"/>
    <w:rsid w:val="00D01466"/>
    <w:rsid w:val="00D02315"/>
    <w:rsid w:val="00D0462F"/>
    <w:rsid w:val="00D058C8"/>
    <w:rsid w:val="00D05CEE"/>
    <w:rsid w:val="00D06317"/>
    <w:rsid w:val="00D06AE7"/>
    <w:rsid w:val="00D10606"/>
    <w:rsid w:val="00D10CE0"/>
    <w:rsid w:val="00D11810"/>
    <w:rsid w:val="00D11813"/>
    <w:rsid w:val="00D136F1"/>
    <w:rsid w:val="00D13A67"/>
    <w:rsid w:val="00D13C4C"/>
    <w:rsid w:val="00D14030"/>
    <w:rsid w:val="00D14B8B"/>
    <w:rsid w:val="00D14C91"/>
    <w:rsid w:val="00D15727"/>
    <w:rsid w:val="00D16332"/>
    <w:rsid w:val="00D20A29"/>
    <w:rsid w:val="00D2119D"/>
    <w:rsid w:val="00D22D5D"/>
    <w:rsid w:val="00D24972"/>
    <w:rsid w:val="00D25013"/>
    <w:rsid w:val="00D2515E"/>
    <w:rsid w:val="00D252D4"/>
    <w:rsid w:val="00D266CD"/>
    <w:rsid w:val="00D2742F"/>
    <w:rsid w:val="00D27D47"/>
    <w:rsid w:val="00D308ED"/>
    <w:rsid w:val="00D30E6B"/>
    <w:rsid w:val="00D31A18"/>
    <w:rsid w:val="00D32E5A"/>
    <w:rsid w:val="00D34418"/>
    <w:rsid w:val="00D3508E"/>
    <w:rsid w:val="00D352F3"/>
    <w:rsid w:val="00D3648D"/>
    <w:rsid w:val="00D364DB"/>
    <w:rsid w:val="00D37639"/>
    <w:rsid w:val="00D402CF"/>
    <w:rsid w:val="00D40A1C"/>
    <w:rsid w:val="00D417F8"/>
    <w:rsid w:val="00D41FEA"/>
    <w:rsid w:val="00D42077"/>
    <w:rsid w:val="00D44477"/>
    <w:rsid w:val="00D44A3A"/>
    <w:rsid w:val="00D463ED"/>
    <w:rsid w:val="00D478BF"/>
    <w:rsid w:val="00D509B4"/>
    <w:rsid w:val="00D50E51"/>
    <w:rsid w:val="00D51A64"/>
    <w:rsid w:val="00D51C07"/>
    <w:rsid w:val="00D52680"/>
    <w:rsid w:val="00D53302"/>
    <w:rsid w:val="00D55545"/>
    <w:rsid w:val="00D56178"/>
    <w:rsid w:val="00D565C3"/>
    <w:rsid w:val="00D568CF"/>
    <w:rsid w:val="00D56CF0"/>
    <w:rsid w:val="00D56F5C"/>
    <w:rsid w:val="00D601E6"/>
    <w:rsid w:val="00D606A3"/>
    <w:rsid w:val="00D612A7"/>
    <w:rsid w:val="00D612E0"/>
    <w:rsid w:val="00D61A4C"/>
    <w:rsid w:val="00D6205F"/>
    <w:rsid w:val="00D62959"/>
    <w:rsid w:val="00D630A1"/>
    <w:rsid w:val="00D6387D"/>
    <w:rsid w:val="00D6428C"/>
    <w:rsid w:val="00D64B13"/>
    <w:rsid w:val="00D65939"/>
    <w:rsid w:val="00D65B20"/>
    <w:rsid w:val="00D66341"/>
    <w:rsid w:val="00D6726F"/>
    <w:rsid w:val="00D704B1"/>
    <w:rsid w:val="00D70B63"/>
    <w:rsid w:val="00D72B92"/>
    <w:rsid w:val="00D72E06"/>
    <w:rsid w:val="00D72ED4"/>
    <w:rsid w:val="00D73F61"/>
    <w:rsid w:val="00D754C0"/>
    <w:rsid w:val="00D75AD4"/>
    <w:rsid w:val="00D75B00"/>
    <w:rsid w:val="00D770F0"/>
    <w:rsid w:val="00D776A2"/>
    <w:rsid w:val="00D801C4"/>
    <w:rsid w:val="00D8093A"/>
    <w:rsid w:val="00D80B23"/>
    <w:rsid w:val="00D820BC"/>
    <w:rsid w:val="00D83B42"/>
    <w:rsid w:val="00D83E60"/>
    <w:rsid w:val="00D8445D"/>
    <w:rsid w:val="00D84D20"/>
    <w:rsid w:val="00D86033"/>
    <w:rsid w:val="00D8623B"/>
    <w:rsid w:val="00D87566"/>
    <w:rsid w:val="00D87FBD"/>
    <w:rsid w:val="00D90333"/>
    <w:rsid w:val="00D90836"/>
    <w:rsid w:val="00D917C6"/>
    <w:rsid w:val="00D91B52"/>
    <w:rsid w:val="00D922AE"/>
    <w:rsid w:val="00D923B5"/>
    <w:rsid w:val="00D94169"/>
    <w:rsid w:val="00D942A2"/>
    <w:rsid w:val="00D94303"/>
    <w:rsid w:val="00D9480C"/>
    <w:rsid w:val="00D95896"/>
    <w:rsid w:val="00D95CC6"/>
    <w:rsid w:val="00D97443"/>
    <w:rsid w:val="00DA0D39"/>
    <w:rsid w:val="00DA11EB"/>
    <w:rsid w:val="00DA1E1D"/>
    <w:rsid w:val="00DA209E"/>
    <w:rsid w:val="00DA2DA3"/>
    <w:rsid w:val="00DA4D42"/>
    <w:rsid w:val="00DA6615"/>
    <w:rsid w:val="00DA746F"/>
    <w:rsid w:val="00DA76AE"/>
    <w:rsid w:val="00DA7BBB"/>
    <w:rsid w:val="00DB02ED"/>
    <w:rsid w:val="00DB181E"/>
    <w:rsid w:val="00DB1C7A"/>
    <w:rsid w:val="00DB2189"/>
    <w:rsid w:val="00DB2983"/>
    <w:rsid w:val="00DB343D"/>
    <w:rsid w:val="00DB4E18"/>
    <w:rsid w:val="00DB4E67"/>
    <w:rsid w:val="00DB5579"/>
    <w:rsid w:val="00DB5CFE"/>
    <w:rsid w:val="00DB7160"/>
    <w:rsid w:val="00DB72C8"/>
    <w:rsid w:val="00DB7828"/>
    <w:rsid w:val="00DC0838"/>
    <w:rsid w:val="00DC10AD"/>
    <w:rsid w:val="00DC2C63"/>
    <w:rsid w:val="00DC380B"/>
    <w:rsid w:val="00DC607D"/>
    <w:rsid w:val="00DC72A6"/>
    <w:rsid w:val="00DC7613"/>
    <w:rsid w:val="00DD0268"/>
    <w:rsid w:val="00DD1FE4"/>
    <w:rsid w:val="00DD2113"/>
    <w:rsid w:val="00DD265E"/>
    <w:rsid w:val="00DD2E03"/>
    <w:rsid w:val="00DD2F12"/>
    <w:rsid w:val="00DD3BA0"/>
    <w:rsid w:val="00DD4201"/>
    <w:rsid w:val="00DD56AE"/>
    <w:rsid w:val="00DE064F"/>
    <w:rsid w:val="00DE361D"/>
    <w:rsid w:val="00DE4F38"/>
    <w:rsid w:val="00DE6459"/>
    <w:rsid w:val="00DF01FF"/>
    <w:rsid w:val="00DF0454"/>
    <w:rsid w:val="00DF0DF2"/>
    <w:rsid w:val="00DF1930"/>
    <w:rsid w:val="00DF30BD"/>
    <w:rsid w:val="00DF3765"/>
    <w:rsid w:val="00DF437E"/>
    <w:rsid w:val="00DF4F13"/>
    <w:rsid w:val="00DF514A"/>
    <w:rsid w:val="00DF560C"/>
    <w:rsid w:val="00DF5ABB"/>
    <w:rsid w:val="00DF5D5B"/>
    <w:rsid w:val="00DF65F8"/>
    <w:rsid w:val="00DF7CDC"/>
    <w:rsid w:val="00E00061"/>
    <w:rsid w:val="00E01B76"/>
    <w:rsid w:val="00E0358D"/>
    <w:rsid w:val="00E03A02"/>
    <w:rsid w:val="00E04757"/>
    <w:rsid w:val="00E06327"/>
    <w:rsid w:val="00E06D93"/>
    <w:rsid w:val="00E078F3"/>
    <w:rsid w:val="00E1213D"/>
    <w:rsid w:val="00E12867"/>
    <w:rsid w:val="00E13264"/>
    <w:rsid w:val="00E13B30"/>
    <w:rsid w:val="00E13FBB"/>
    <w:rsid w:val="00E148B6"/>
    <w:rsid w:val="00E14CEF"/>
    <w:rsid w:val="00E14F9E"/>
    <w:rsid w:val="00E15E36"/>
    <w:rsid w:val="00E20134"/>
    <w:rsid w:val="00E2064B"/>
    <w:rsid w:val="00E25239"/>
    <w:rsid w:val="00E254CA"/>
    <w:rsid w:val="00E25552"/>
    <w:rsid w:val="00E265B1"/>
    <w:rsid w:val="00E265B4"/>
    <w:rsid w:val="00E26F3B"/>
    <w:rsid w:val="00E275B0"/>
    <w:rsid w:val="00E302F1"/>
    <w:rsid w:val="00E30D66"/>
    <w:rsid w:val="00E30E6F"/>
    <w:rsid w:val="00E31230"/>
    <w:rsid w:val="00E3170B"/>
    <w:rsid w:val="00E31E16"/>
    <w:rsid w:val="00E345D6"/>
    <w:rsid w:val="00E35860"/>
    <w:rsid w:val="00E3688C"/>
    <w:rsid w:val="00E40735"/>
    <w:rsid w:val="00E410D7"/>
    <w:rsid w:val="00E412D0"/>
    <w:rsid w:val="00E42E72"/>
    <w:rsid w:val="00E43011"/>
    <w:rsid w:val="00E44652"/>
    <w:rsid w:val="00E4521F"/>
    <w:rsid w:val="00E4577F"/>
    <w:rsid w:val="00E46423"/>
    <w:rsid w:val="00E47CDB"/>
    <w:rsid w:val="00E47D4E"/>
    <w:rsid w:val="00E50E79"/>
    <w:rsid w:val="00E510DC"/>
    <w:rsid w:val="00E51310"/>
    <w:rsid w:val="00E53F93"/>
    <w:rsid w:val="00E541AE"/>
    <w:rsid w:val="00E566BC"/>
    <w:rsid w:val="00E56A34"/>
    <w:rsid w:val="00E56CEE"/>
    <w:rsid w:val="00E57857"/>
    <w:rsid w:val="00E60982"/>
    <w:rsid w:val="00E60C8D"/>
    <w:rsid w:val="00E6162F"/>
    <w:rsid w:val="00E6262A"/>
    <w:rsid w:val="00E62F1E"/>
    <w:rsid w:val="00E6311B"/>
    <w:rsid w:val="00E639D2"/>
    <w:rsid w:val="00E63B06"/>
    <w:rsid w:val="00E6502B"/>
    <w:rsid w:val="00E65D97"/>
    <w:rsid w:val="00E668C5"/>
    <w:rsid w:val="00E66F1B"/>
    <w:rsid w:val="00E66F90"/>
    <w:rsid w:val="00E67309"/>
    <w:rsid w:val="00E67EFD"/>
    <w:rsid w:val="00E67FCE"/>
    <w:rsid w:val="00E702DC"/>
    <w:rsid w:val="00E714A7"/>
    <w:rsid w:val="00E71FFB"/>
    <w:rsid w:val="00E727BC"/>
    <w:rsid w:val="00E748FC"/>
    <w:rsid w:val="00E74AF4"/>
    <w:rsid w:val="00E74BA3"/>
    <w:rsid w:val="00E75FBE"/>
    <w:rsid w:val="00E766E5"/>
    <w:rsid w:val="00E76D1D"/>
    <w:rsid w:val="00E8052C"/>
    <w:rsid w:val="00E806F8"/>
    <w:rsid w:val="00E824C6"/>
    <w:rsid w:val="00E84678"/>
    <w:rsid w:val="00E85323"/>
    <w:rsid w:val="00E86152"/>
    <w:rsid w:val="00E870F6"/>
    <w:rsid w:val="00E87752"/>
    <w:rsid w:val="00E8793B"/>
    <w:rsid w:val="00E90F81"/>
    <w:rsid w:val="00E91A6D"/>
    <w:rsid w:val="00E9242D"/>
    <w:rsid w:val="00E9334D"/>
    <w:rsid w:val="00E938CB"/>
    <w:rsid w:val="00E941C8"/>
    <w:rsid w:val="00E948C0"/>
    <w:rsid w:val="00E94A67"/>
    <w:rsid w:val="00E97412"/>
    <w:rsid w:val="00EA118C"/>
    <w:rsid w:val="00EA1D0D"/>
    <w:rsid w:val="00EA4129"/>
    <w:rsid w:val="00EA654B"/>
    <w:rsid w:val="00EA6F94"/>
    <w:rsid w:val="00EA7DAE"/>
    <w:rsid w:val="00EB041C"/>
    <w:rsid w:val="00EB0F9A"/>
    <w:rsid w:val="00EB1039"/>
    <w:rsid w:val="00EB135F"/>
    <w:rsid w:val="00EB14D7"/>
    <w:rsid w:val="00EB1E51"/>
    <w:rsid w:val="00EB2840"/>
    <w:rsid w:val="00EB2903"/>
    <w:rsid w:val="00EB337F"/>
    <w:rsid w:val="00EB5925"/>
    <w:rsid w:val="00EB5CFF"/>
    <w:rsid w:val="00EB6C90"/>
    <w:rsid w:val="00EB74B4"/>
    <w:rsid w:val="00EC0942"/>
    <w:rsid w:val="00EC1B5E"/>
    <w:rsid w:val="00EC290E"/>
    <w:rsid w:val="00EC3311"/>
    <w:rsid w:val="00EC3755"/>
    <w:rsid w:val="00EC51D0"/>
    <w:rsid w:val="00EC5479"/>
    <w:rsid w:val="00EC5874"/>
    <w:rsid w:val="00EC6DAB"/>
    <w:rsid w:val="00ED01E0"/>
    <w:rsid w:val="00ED192D"/>
    <w:rsid w:val="00ED196A"/>
    <w:rsid w:val="00ED29B8"/>
    <w:rsid w:val="00ED2B62"/>
    <w:rsid w:val="00ED30B4"/>
    <w:rsid w:val="00ED31F5"/>
    <w:rsid w:val="00ED391A"/>
    <w:rsid w:val="00ED3E1E"/>
    <w:rsid w:val="00ED430E"/>
    <w:rsid w:val="00ED4C49"/>
    <w:rsid w:val="00ED555F"/>
    <w:rsid w:val="00ED5A56"/>
    <w:rsid w:val="00EE2806"/>
    <w:rsid w:val="00EE2F24"/>
    <w:rsid w:val="00EE4B64"/>
    <w:rsid w:val="00EE4ED6"/>
    <w:rsid w:val="00EE64F8"/>
    <w:rsid w:val="00EE686F"/>
    <w:rsid w:val="00EE7C76"/>
    <w:rsid w:val="00EF2759"/>
    <w:rsid w:val="00EF2FCD"/>
    <w:rsid w:val="00EF3F65"/>
    <w:rsid w:val="00EF45EB"/>
    <w:rsid w:val="00EF4643"/>
    <w:rsid w:val="00EF5099"/>
    <w:rsid w:val="00EF55EA"/>
    <w:rsid w:val="00EF5E33"/>
    <w:rsid w:val="00F00075"/>
    <w:rsid w:val="00F0023C"/>
    <w:rsid w:val="00F00DCB"/>
    <w:rsid w:val="00F00F28"/>
    <w:rsid w:val="00F03A3A"/>
    <w:rsid w:val="00F051C9"/>
    <w:rsid w:val="00F058F3"/>
    <w:rsid w:val="00F05E6C"/>
    <w:rsid w:val="00F0678A"/>
    <w:rsid w:val="00F07822"/>
    <w:rsid w:val="00F07D69"/>
    <w:rsid w:val="00F113AA"/>
    <w:rsid w:val="00F11EF1"/>
    <w:rsid w:val="00F12FA4"/>
    <w:rsid w:val="00F136D7"/>
    <w:rsid w:val="00F15C95"/>
    <w:rsid w:val="00F16065"/>
    <w:rsid w:val="00F164B2"/>
    <w:rsid w:val="00F167FC"/>
    <w:rsid w:val="00F16DC7"/>
    <w:rsid w:val="00F202F5"/>
    <w:rsid w:val="00F20A18"/>
    <w:rsid w:val="00F21F6F"/>
    <w:rsid w:val="00F21FFE"/>
    <w:rsid w:val="00F22908"/>
    <w:rsid w:val="00F22985"/>
    <w:rsid w:val="00F22994"/>
    <w:rsid w:val="00F23BA6"/>
    <w:rsid w:val="00F241AB"/>
    <w:rsid w:val="00F25A1B"/>
    <w:rsid w:val="00F25E59"/>
    <w:rsid w:val="00F26201"/>
    <w:rsid w:val="00F31382"/>
    <w:rsid w:val="00F31B3E"/>
    <w:rsid w:val="00F35829"/>
    <w:rsid w:val="00F35F31"/>
    <w:rsid w:val="00F35F9F"/>
    <w:rsid w:val="00F36240"/>
    <w:rsid w:val="00F404A7"/>
    <w:rsid w:val="00F409A9"/>
    <w:rsid w:val="00F4193B"/>
    <w:rsid w:val="00F42868"/>
    <w:rsid w:val="00F430A0"/>
    <w:rsid w:val="00F45054"/>
    <w:rsid w:val="00F45EAF"/>
    <w:rsid w:val="00F465A7"/>
    <w:rsid w:val="00F50B7C"/>
    <w:rsid w:val="00F50BE2"/>
    <w:rsid w:val="00F5202D"/>
    <w:rsid w:val="00F52CF6"/>
    <w:rsid w:val="00F53815"/>
    <w:rsid w:val="00F53CCA"/>
    <w:rsid w:val="00F54219"/>
    <w:rsid w:val="00F54496"/>
    <w:rsid w:val="00F54C0A"/>
    <w:rsid w:val="00F56168"/>
    <w:rsid w:val="00F56C4E"/>
    <w:rsid w:val="00F60A6D"/>
    <w:rsid w:val="00F60ADE"/>
    <w:rsid w:val="00F61097"/>
    <w:rsid w:val="00F61C53"/>
    <w:rsid w:val="00F61E7C"/>
    <w:rsid w:val="00F625B4"/>
    <w:rsid w:val="00F642B5"/>
    <w:rsid w:val="00F644CA"/>
    <w:rsid w:val="00F708C8"/>
    <w:rsid w:val="00F713BA"/>
    <w:rsid w:val="00F72D6B"/>
    <w:rsid w:val="00F73FAC"/>
    <w:rsid w:val="00F74345"/>
    <w:rsid w:val="00F74441"/>
    <w:rsid w:val="00F77F30"/>
    <w:rsid w:val="00F802D9"/>
    <w:rsid w:val="00F81648"/>
    <w:rsid w:val="00F81A58"/>
    <w:rsid w:val="00F82589"/>
    <w:rsid w:val="00F8265F"/>
    <w:rsid w:val="00F82B19"/>
    <w:rsid w:val="00F82E43"/>
    <w:rsid w:val="00F83AC1"/>
    <w:rsid w:val="00F83EF5"/>
    <w:rsid w:val="00F849D1"/>
    <w:rsid w:val="00F84E53"/>
    <w:rsid w:val="00F85C83"/>
    <w:rsid w:val="00F87793"/>
    <w:rsid w:val="00F90AA7"/>
    <w:rsid w:val="00F9212D"/>
    <w:rsid w:val="00F92AE4"/>
    <w:rsid w:val="00F92C17"/>
    <w:rsid w:val="00F93BCA"/>
    <w:rsid w:val="00F9429E"/>
    <w:rsid w:val="00F9497D"/>
    <w:rsid w:val="00F966D7"/>
    <w:rsid w:val="00FA0357"/>
    <w:rsid w:val="00FA1208"/>
    <w:rsid w:val="00FA1954"/>
    <w:rsid w:val="00FA2BA5"/>
    <w:rsid w:val="00FA301A"/>
    <w:rsid w:val="00FA30BB"/>
    <w:rsid w:val="00FA3F45"/>
    <w:rsid w:val="00FA406A"/>
    <w:rsid w:val="00FA5CB6"/>
    <w:rsid w:val="00FB0D64"/>
    <w:rsid w:val="00FB101A"/>
    <w:rsid w:val="00FB2893"/>
    <w:rsid w:val="00FB28D1"/>
    <w:rsid w:val="00FB2E24"/>
    <w:rsid w:val="00FB3DE1"/>
    <w:rsid w:val="00FB64F5"/>
    <w:rsid w:val="00FB6FEB"/>
    <w:rsid w:val="00FC0C30"/>
    <w:rsid w:val="00FC0E5E"/>
    <w:rsid w:val="00FC1056"/>
    <w:rsid w:val="00FC11E1"/>
    <w:rsid w:val="00FC2E5A"/>
    <w:rsid w:val="00FC5713"/>
    <w:rsid w:val="00FC66AC"/>
    <w:rsid w:val="00FC6780"/>
    <w:rsid w:val="00FC6874"/>
    <w:rsid w:val="00FC79B8"/>
    <w:rsid w:val="00FD18F4"/>
    <w:rsid w:val="00FD3AA2"/>
    <w:rsid w:val="00FD3BBC"/>
    <w:rsid w:val="00FD440C"/>
    <w:rsid w:val="00FD454F"/>
    <w:rsid w:val="00FD4F16"/>
    <w:rsid w:val="00FD5053"/>
    <w:rsid w:val="00FD6272"/>
    <w:rsid w:val="00FD6AE8"/>
    <w:rsid w:val="00FD7315"/>
    <w:rsid w:val="00FD74B4"/>
    <w:rsid w:val="00FE0809"/>
    <w:rsid w:val="00FE26C8"/>
    <w:rsid w:val="00FE27E7"/>
    <w:rsid w:val="00FE3498"/>
    <w:rsid w:val="00FE45C8"/>
    <w:rsid w:val="00FE4DAF"/>
    <w:rsid w:val="00FE6BF2"/>
    <w:rsid w:val="00FE6D00"/>
    <w:rsid w:val="00FF03C9"/>
    <w:rsid w:val="00FF06D8"/>
    <w:rsid w:val="00FF15FD"/>
    <w:rsid w:val="00FF1AA5"/>
    <w:rsid w:val="00FF3BC1"/>
    <w:rsid w:val="00FF4B6E"/>
    <w:rsid w:val="00FF522A"/>
    <w:rsid w:val="00FF58F0"/>
    <w:rsid w:val="00FF637A"/>
    <w:rsid w:val="00FF6FCE"/>
    <w:rsid w:val="00FF7518"/>
    <w:rsid w:val="00FF772F"/>
    <w:rsid w:val="00FF79AB"/>
    <w:rsid w:val="00FF7FD8"/>
    <w:rsid w:val="01067C6D"/>
    <w:rsid w:val="01077F0F"/>
    <w:rsid w:val="010A29DC"/>
    <w:rsid w:val="010F71D3"/>
    <w:rsid w:val="01170BF2"/>
    <w:rsid w:val="01172F17"/>
    <w:rsid w:val="011928D4"/>
    <w:rsid w:val="011A2E43"/>
    <w:rsid w:val="01350AD8"/>
    <w:rsid w:val="0136557F"/>
    <w:rsid w:val="01377AB3"/>
    <w:rsid w:val="01390BCC"/>
    <w:rsid w:val="013B4F4B"/>
    <w:rsid w:val="01437730"/>
    <w:rsid w:val="014537AC"/>
    <w:rsid w:val="01547C83"/>
    <w:rsid w:val="016155B8"/>
    <w:rsid w:val="0168529C"/>
    <w:rsid w:val="017D4D3A"/>
    <w:rsid w:val="017D59E4"/>
    <w:rsid w:val="017E2131"/>
    <w:rsid w:val="01840DAE"/>
    <w:rsid w:val="018856AF"/>
    <w:rsid w:val="018B2367"/>
    <w:rsid w:val="01911385"/>
    <w:rsid w:val="01911E00"/>
    <w:rsid w:val="01973B44"/>
    <w:rsid w:val="019B1E99"/>
    <w:rsid w:val="019B5C7E"/>
    <w:rsid w:val="01A7022B"/>
    <w:rsid w:val="01B15800"/>
    <w:rsid w:val="01B5403C"/>
    <w:rsid w:val="01B733C1"/>
    <w:rsid w:val="01BB0267"/>
    <w:rsid w:val="01BD35AB"/>
    <w:rsid w:val="01BD4A34"/>
    <w:rsid w:val="01C079A2"/>
    <w:rsid w:val="01C21AF3"/>
    <w:rsid w:val="01C7267B"/>
    <w:rsid w:val="01C92352"/>
    <w:rsid w:val="01D1397B"/>
    <w:rsid w:val="01DB3BB0"/>
    <w:rsid w:val="01DF4697"/>
    <w:rsid w:val="01E50D53"/>
    <w:rsid w:val="01EB553A"/>
    <w:rsid w:val="01EE0D79"/>
    <w:rsid w:val="020016E9"/>
    <w:rsid w:val="020222EE"/>
    <w:rsid w:val="02041E86"/>
    <w:rsid w:val="02057B6E"/>
    <w:rsid w:val="02074A3A"/>
    <w:rsid w:val="02083702"/>
    <w:rsid w:val="02083D37"/>
    <w:rsid w:val="020D15A5"/>
    <w:rsid w:val="021474BD"/>
    <w:rsid w:val="021A6C4F"/>
    <w:rsid w:val="021D04ED"/>
    <w:rsid w:val="0229596D"/>
    <w:rsid w:val="022A6766"/>
    <w:rsid w:val="022C297A"/>
    <w:rsid w:val="022C6410"/>
    <w:rsid w:val="022E40FE"/>
    <w:rsid w:val="02303661"/>
    <w:rsid w:val="02366F25"/>
    <w:rsid w:val="023F4680"/>
    <w:rsid w:val="024E2969"/>
    <w:rsid w:val="024F27B7"/>
    <w:rsid w:val="02544E92"/>
    <w:rsid w:val="025F4662"/>
    <w:rsid w:val="02695F1C"/>
    <w:rsid w:val="027829F7"/>
    <w:rsid w:val="027953C0"/>
    <w:rsid w:val="02797F9D"/>
    <w:rsid w:val="027A76EE"/>
    <w:rsid w:val="02804A2B"/>
    <w:rsid w:val="02810A7C"/>
    <w:rsid w:val="02824F5B"/>
    <w:rsid w:val="029562D6"/>
    <w:rsid w:val="02967CE2"/>
    <w:rsid w:val="02A85AF5"/>
    <w:rsid w:val="02A91D81"/>
    <w:rsid w:val="02AA2CAC"/>
    <w:rsid w:val="02AB1737"/>
    <w:rsid w:val="02B2285A"/>
    <w:rsid w:val="02BA21E0"/>
    <w:rsid w:val="02BF508B"/>
    <w:rsid w:val="02BF77F6"/>
    <w:rsid w:val="02C24BF1"/>
    <w:rsid w:val="02C87C96"/>
    <w:rsid w:val="02D1737B"/>
    <w:rsid w:val="02D44D59"/>
    <w:rsid w:val="02E1227F"/>
    <w:rsid w:val="02E31E03"/>
    <w:rsid w:val="02E36378"/>
    <w:rsid w:val="02E55FBA"/>
    <w:rsid w:val="02E93F17"/>
    <w:rsid w:val="03020FFB"/>
    <w:rsid w:val="030709C3"/>
    <w:rsid w:val="03083E7A"/>
    <w:rsid w:val="03125AB7"/>
    <w:rsid w:val="031C40A5"/>
    <w:rsid w:val="032079FD"/>
    <w:rsid w:val="032B09E8"/>
    <w:rsid w:val="032C2F1B"/>
    <w:rsid w:val="033B78B3"/>
    <w:rsid w:val="0340392F"/>
    <w:rsid w:val="034804A0"/>
    <w:rsid w:val="03577865"/>
    <w:rsid w:val="03622455"/>
    <w:rsid w:val="036B669D"/>
    <w:rsid w:val="036E2335"/>
    <w:rsid w:val="036F2FCB"/>
    <w:rsid w:val="037C2093"/>
    <w:rsid w:val="03830824"/>
    <w:rsid w:val="03870314"/>
    <w:rsid w:val="038C2458"/>
    <w:rsid w:val="038D7BEC"/>
    <w:rsid w:val="038F2C54"/>
    <w:rsid w:val="039842CF"/>
    <w:rsid w:val="039B5D5A"/>
    <w:rsid w:val="039E740C"/>
    <w:rsid w:val="03A308EB"/>
    <w:rsid w:val="03B24323"/>
    <w:rsid w:val="03B65DA4"/>
    <w:rsid w:val="03BF6CEB"/>
    <w:rsid w:val="03C64675"/>
    <w:rsid w:val="03C758AC"/>
    <w:rsid w:val="03CC7F91"/>
    <w:rsid w:val="03CD1A9F"/>
    <w:rsid w:val="03D54200"/>
    <w:rsid w:val="03D6016D"/>
    <w:rsid w:val="03E203BA"/>
    <w:rsid w:val="03EA2651"/>
    <w:rsid w:val="03F21298"/>
    <w:rsid w:val="03F23F4C"/>
    <w:rsid w:val="03FA6D38"/>
    <w:rsid w:val="03FE6F06"/>
    <w:rsid w:val="040000C7"/>
    <w:rsid w:val="04051E5E"/>
    <w:rsid w:val="04073203"/>
    <w:rsid w:val="040A684F"/>
    <w:rsid w:val="040C4AB3"/>
    <w:rsid w:val="040E27E3"/>
    <w:rsid w:val="04133557"/>
    <w:rsid w:val="041B280B"/>
    <w:rsid w:val="04235139"/>
    <w:rsid w:val="04286F83"/>
    <w:rsid w:val="042A0CA0"/>
    <w:rsid w:val="042C5136"/>
    <w:rsid w:val="042F096F"/>
    <w:rsid w:val="0430312F"/>
    <w:rsid w:val="04357D70"/>
    <w:rsid w:val="043A5387"/>
    <w:rsid w:val="043B113B"/>
    <w:rsid w:val="043C4D20"/>
    <w:rsid w:val="043E1DC9"/>
    <w:rsid w:val="044C0C16"/>
    <w:rsid w:val="044E498E"/>
    <w:rsid w:val="04530D6F"/>
    <w:rsid w:val="04555532"/>
    <w:rsid w:val="045C7EF8"/>
    <w:rsid w:val="045D4105"/>
    <w:rsid w:val="045E7440"/>
    <w:rsid w:val="04642C3F"/>
    <w:rsid w:val="046A5B6D"/>
    <w:rsid w:val="047123C5"/>
    <w:rsid w:val="04717F2B"/>
    <w:rsid w:val="047C2107"/>
    <w:rsid w:val="047D1717"/>
    <w:rsid w:val="0487793E"/>
    <w:rsid w:val="048B7990"/>
    <w:rsid w:val="049013F7"/>
    <w:rsid w:val="04910D1F"/>
    <w:rsid w:val="0493386E"/>
    <w:rsid w:val="04973A9F"/>
    <w:rsid w:val="04B07CB0"/>
    <w:rsid w:val="04BC3FEE"/>
    <w:rsid w:val="04BF1E06"/>
    <w:rsid w:val="04C31FFF"/>
    <w:rsid w:val="04C36291"/>
    <w:rsid w:val="04CA4709"/>
    <w:rsid w:val="04CE3EEB"/>
    <w:rsid w:val="04D40E15"/>
    <w:rsid w:val="04D74983"/>
    <w:rsid w:val="04DD246D"/>
    <w:rsid w:val="04E86B91"/>
    <w:rsid w:val="05037472"/>
    <w:rsid w:val="050520CD"/>
    <w:rsid w:val="05066743"/>
    <w:rsid w:val="05087233"/>
    <w:rsid w:val="050F05C1"/>
    <w:rsid w:val="05104339"/>
    <w:rsid w:val="051060E7"/>
    <w:rsid w:val="0519480B"/>
    <w:rsid w:val="052D3B24"/>
    <w:rsid w:val="05321E86"/>
    <w:rsid w:val="053D7070"/>
    <w:rsid w:val="053E2C54"/>
    <w:rsid w:val="05461C33"/>
    <w:rsid w:val="05465FAD"/>
    <w:rsid w:val="0548762F"/>
    <w:rsid w:val="054D527E"/>
    <w:rsid w:val="054E016B"/>
    <w:rsid w:val="054E758A"/>
    <w:rsid w:val="05526700"/>
    <w:rsid w:val="05572E81"/>
    <w:rsid w:val="055A54D4"/>
    <w:rsid w:val="055C132D"/>
    <w:rsid w:val="055F0D07"/>
    <w:rsid w:val="0567598A"/>
    <w:rsid w:val="056D3BBA"/>
    <w:rsid w:val="05742AC8"/>
    <w:rsid w:val="05793C8D"/>
    <w:rsid w:val="058B386D"/>
    <w:rsid w:val="058F34B0"/>
    <w:rsid w:val="058F45E8"/>
    <w:rsid w:val="05927CC1"/>
    <w:rsid w:val="05AD1B88"/>
    <w:rsid w:val="05AF6B4A"/>
    <w:rsid w:val="05B47256"/>
    <w:rsid w:val="05B63349"/>
    <w:rsid w:val="05B92310"/>
    <w:rsid w:val="05BA7A96"/>
    <w:rsid w:val="05CD76FE"/>
    <w:rsid w:val="05D11D1B"/>
    <w:rsid w:val="05D74C64"/>
    <w:rsid w:val="05D80C81"/>
    <w:rsid w:val="05D83B97"/>
    <w:rsid w:val="05EE467B"/>
    <w:rsid w:val="05EF3F4F"/>
    <w:rsid w:val="05F94DCD"/>
    <w:rsid w:val="05FC4926"/>
    <w:rsid w:val="061A3C05"/>
    <w:rsid w:val="061A7DF9"/>
    <w:rsid w:val="062221B0"/>
    <w:rsid w:val="06287461"/>
    <w:rsid w:val="06314567"/>
    <w:rsid w:val="06336AC0"/>
    <w:rsid w:val="06352F05"/>
    <w:rsid w:val="063623FA"/>
    <w:rsid w:val="0637386D"/>
    <w:rsid w:val="063E7D85"/>
    <w:rsid w:val="06420522"/>
    <w:rsid w:val="06425B25"/>
    <w:rsid w:val="0642670C"/>
    <w:rsid w:val="064E21DF"/>
    <w:rsid w:val="06565884"/>
    <w:rsid w:val="066250D8"/>
    <w:rsid w:val="066639F9"/>
    <w:rsid w:val="066B5CCB"/>
    <w:rsid w:val="06780C95"/>
    <w:rsid w:val="06876FE5"/>
    <w:rsid w:val="06941933"/>
    <w:rsid w:val="069D1BFD"/>
    <w:rsid w:val="069D39AB"/>
    <w:rsid w:val="069F2ADB"/>
    <w:rsid w:val="069F3BC7"/>
    <w:rsid w:val="06A5404B"/>
    <w:rsid w:val="06AF7025"/>
    <w:rsid w:val="06B411A7"/>
    <w:rsid w:val="06B50CF4"/>
    <w:rsid w:val="06B55198"/>
    <w:rsid w:val="06B81B4A"/>
    <w:rsid w:val="06C21663"/>
    <w:rsid w:val="06C24090"/>
    <w:rsid w:val="06C54729"/>
    <w:rsid w:val="06C63EDA"/>
    <w:rsid w:val="06C85923"/>
    <w:rsid w:val="06D664FD"/>
    <w:rsid w:val="06D870D9"/>
    <w:rsid w:val="06D92042"/>
    <w:rsid w:val="06DE2083"/>
    <w:rsid w:val="06E13263"/>
    <w:rsid w:val="06E72E78"/>
    <w:rsid w:val="06F37A6F"/>
    <w:rsid w:val="06F92952"/>
    <w:rsid w:val="06FF0386"/>
    <w:rsid w:val="07062CE6"/>
    <w:rsid w:val="070875E0"/>
    <w:rsid w:val="070B125C"/>
    <w:rsid w:val="070D0B30"/>
    <w:rsid w:val="071118B1"/>
    <w:rsid w:val="07133C6D"/>
    <w:rsid w:val="071418C3"/>
    <w:rsid w:val="0727638C"/>
    <w:rsid w:val="0728596A"/>
    <w:rsid w:val="07287718"/>
    <w:rsid w:val="07293586"/>
    <w:rsid w:val="07295285"/>
    <w:rsid w:val="0737795B"/>
    <w:rsid w:val="07412670"/>
    <w:rsid w:val="074919B2"/>
    <w:rsid w:val="074C0438"/>
    <w:rsid w:val="074D3623"/>
    <w:rsid w:val="074F739B"/>
    <w:rsid w:val="07502ECA"/>
    <w:rsid w:val="07536F31"/>
    <w:rsid w:val="075B5D40"/>
    <w:rsid w:val="076075C4"/>
    <w:rsid w:val="076E17A1"/>
    <w:rsid w:val="07710E22"/>
    <w:rsid w:val="07770C56"/>
    <w:rsid w:val="077961C6"/>
    <w:rsid w:val="077D28CE"/>
    <w:rsid w:val="078F277D"/>
    <w:rsid w:val="07991FB5"/>
    <w:rsid w:val="079C2CC0"/>
    <w:rsid w:val="07A203AA"/>
    <w:rsid w:val="07A30AFF"/>
    <w:rsid w:val="07A95411"/>
    <w:rsid w:val="07B44062"/>
    <w:rsid w:val="07C22A52"/>
    <w:rsid w:val="07CC09EB"/>
    <w:rsid w:val="07CD206E"/>
    <w:rsid w:val="07DD739E"/>
    <w:rsid w:val="07E87D3C"/>
    <w:rsid w:val="07F7358F"/>
    <w:rsid w:val="07F87631"/>
    <w:rsid w:val="07F97307"/>
    <w:rsid w:val="08041290"/>
    <w:rsid w:val="080D690E"/>
    <w:rsid w:val="080E7140"/>
    <w:rsid w:val="081303C8"/>
    <w:rsid w:val="08154773"/>
    <w:rsid w:val="082220F3"/>
    <w:rsid w:val="0822685D"/>
    <w:rsid w:val="082A1F2E"/>
    <w:rsid w:val="082C4FE6"/>
    <w:rsid w:val="083B16CD"/>
    <w:rsid w:val="083C70DC"/>
    <w:rsid w:val="083E1669"/>
    <w:rsid w:val="08634780"/>
    <w:rsid w:val="08640C24"/>
    <w:rsid w:val="08657D1A"/>
    <w:rsid w:val="08686160"/>
    <w:rsid w:val="086F75C9"/>
    <w:rsid w:val="0887128C"/>
    <w:rsid w:val="08896F10"/>
    <w:rsid w:val="0889737D"/>
    <w:rsid w:val="088A61B1"/>
    <w:rsid w:val="08B0597E"/>
    <w:rsid w:val="08B47CED"/>
    <w:rsid w:val="08BB45BC"/>
    <w:rsid w:val="08D4742C"/>
    <w:rsid w:val="08D51B22"/>
    <w:rsid w:val="08D70FE8"/>
    <w:rsid w:val="08DB5971"/>
    <w:rsid w:val="08DF53C7"/>
    <w:rsid w:val="08E14650"/>
    <w:rsid w:val="08E17C10"/>
    <w:rsid w:val="08E83CA0"/>
    <w:rsid w:val="08E91129"/>
    <w:rsid w:val="08F50D9E"/>
    <w:rsid w:val="08F57ACE"/>
    <w:rsid w:val="08FB2C0B"/>
    <w:rsid w:val="08FB2FE7"/>
    <w:rsid w:val="0904538E"/>
    <w:rsid w:val="09173EE8"/>
    <w:rsid w:val="09194F78"/>
    <w:rsid w:val="0921036F"/>
    <w:rsid w:val="092108C3"/>
    <w:rsid w:val="092217DD"/>
    <w:rsid w:val="09271C52"/>
    <w:rsid w:val="093A7294"/>
    <w:rsid w:val="09445C8D"/>
    <w:rsid w:val="094D3B40"/>
    <w:rsid w:val="09510138"/>
    <w:rsid w:val="0955682A"/>
    <w:rsid w:val="095D1679"/>
    <w:rsid w:val="095F46AE"/>
    <w:rsid w:val="096E1F84"/>
    <w:rsid w:val="096E65B7"/>
    <w:rsid w:val="097904A9"/>
    <w:rsid w:val="098911F1"/>
    <w:rsid w:val="09A727B4"/>
    <w:rsid w:val="09B870A9"/>
    <w:rsid w:val="09BC692F"/>
    <w:rsid w:val="09BE3386"/>
    <w:rsid w:val="09C120A6"/>
    <w:rsid w:val="09C13914"/>
    <w:rsid w:val="09C63218"/>
    <w:rsid w:val="09E244F6"/>
    <w:rsid w:val="09E86505"/>
    <w:rsid w:val="09EA2A75"/>
    <w:rsid w:val="09F60A55"/>
    <w:rsid w:val="09F91840"/>
    <w:rsid w:val="09FB55B8"/>
    <w:rsid w:val="09FD5BA6"/>
    <w:rsid w:val="0A002BCE"/>
    <w:rsid w:val="0A0801C9"/>
    <w:rsid w:val="0A0A1357"/>
    <w:rsid w:val="0A0B7F7B"/>
    <w:rsid w:val="0A1F4F54"/>
    <w:rsid w:val="0A2167E2"/>
    <w:rsid w:val="0A2354BC"/>
    <w:rsid w:val="0A282593"/>
    <w:rsid w:val="0A45735E"/>
    <w:rsid w:val="0A4963C4"/>
    <w:rsid w:val="0A4A1FEA"/>
    <w:rsid w:val="0A4A209B"/>
    <w:rsid w:val="0A4C5E14"/>
    <w:rsid w:val="0A4C7BC2"/>
    <w:rsid w:val="0A505F8B"/>
    <w:rsid w:val="0A570314"/>
    <w:rsid w:val="0A5A0A4F"/>
    <w:rsid w:val="0A62572E"/>
    <w:rsid w:val="0A634065"/>
    <w:rsid w:val="0A65591F"/>
    <w:rsid w:val="0A683ECE"/>
    <w:rsid w:val="0A6E7F4C"/>
    <w:rsid w:val="0A712022"/>
    <w:rsid w:val="0A752C10"/>
    <w:rsid w:val="0A7C2A94"/>
    <w:rsid w:val="0A7E5748"/>
    <w:rsid w:val="0A891A67"/>
    <w:rsid w:val="0A8E74F0"/>
    <w:rsid w:val="0A946D2D"/>
    <w:rsid w:val="0A9D47E0"/>
    <w:rsid w:val="0AA303B5"/>
    <w:rsid w:val="0AAC6C27"/>
    <w:rsid w:val="0AB34339"/>
    <w:rsid w:val="0ABA2D7D"/>
    <w:rsid w:val="0ABE53B3"/>
    <w:rsid w:val="0AC11C9F"/>
    <w:rsid w:val="0AC77248"/>
    <w:rsid w:val="0AC839D5"/>
    <w:rsid w:val="0ACD76E7"/>
    <w:rsid w:val="0AF02C43"/>
    <w:rsid w:val="0AF121B4"/>
    <w:rsid w:val="0AFE6169"/>
    <w:rsid w:val="0AFF4C34"/>
    <w:rsid w:val="0B00275A"/>
    <w:rsid w:val="0B0C52F2"/>
    <w:rsid w:val="0B167213"/>
    <w:rsid w:val="0B1D6B2A"/>
    <w:rsid w:val="0B2D6A65"/>
    <w:rsid w:val="0B310B66"/>
    <w:rsid w:val="0B322488"/>
    <w:rsid w:val="0B365CE9"/>
    <w:rsid w:val="0B403661"/>
    <w:rsid w:val="0B42438F"/>
    <w:rsid w:val="0B481F47"/>
    <w:rsid w:val="0B4C7002"/>
    <w:rsid w:val="0B581D83"/>
    <w:rsid w:val="0B593999"/>
    <w:rsid w:val="0B5E5DFE"/>
    <w:rsid w:val="0B6032EA"/>
    <w:rsid w:val="0B6960D9"/>
    <w:rsid w:val="0B6B051B"/>
    <w:rsid w:val="0B835865"/>
    <w:rsid w:val="0B8402A7"/>
    <w:rsid w:val="0B84191B"/>
    <w:rsid w:val="0B860EB1"/>
    <w:rsid w:val="0B8C18E5"/>
    <w:rsid w:val="0B933E41"/>
    <w:rsid w:val="0BB4198C"/>
    <w:rsid w:val="0BB94DC3"/>
    <w:rsid w:val="0BBC023E"/>
    <w:rsid w:val="0BC27456"/>
    <w:rsid w:val="0BC65752"/>
    <w:rsid w:val="0BCB395E"/>
    <w:rsid w:val="0BD02715"/>
    <w:rsid w:val="0BD04FD2"/>
    <w:rsid w:val="0BD22349"/>
    <w:rsid w:val="0BD27BF6"/>
    <w:rsid w:val="0BD41096"/>
    <w:rsid w:val="0BD4252C"/>
    <w:rsid w:val="0BE465E7"/>
    <w:rsid w:val="0BE67BA2"/>
    <w:rsid w:val="0BE7745E"/>
    <w:rsid w:val="0BEE01C2"/>
    <w:rsid w:val="0BF16F81"/>
    <w:rsid w:val="0BF26547"/>
    <w:rsid w:val="0BF978D5"/>
    <w:rsid w:val="0BFB6417"/>
    <w:rsid w:val="0BFB7D41"/>
    <w:rsid w:val="0BFE6406"/>
    <w:rsid w:val="0C006EB6"/>
    <w:rsid w:val="0C0113E6"/>
    <w:rsid w:val="0C036249"/>
    <w:rsid w:val="0C085B3A"/>
    <w:rsid w:val="0C112E71"/>
    <w:rsid w:val="0C1678BE"/>
    <w:rsid w:val="0C1E6205"/>
    <w:rsid w:val="0C232BA4"/>
    <w:rsid w:val="0C365F93"/>
    <w:rsid w:val="0C3F4E06"/>
    <w:rsid w:val="0C450D6C"/>
    <w:rsid w:val="0C4843B9"/>
    <w:rsid w:val="0C4F3C2F"/>
    <w:rsid w:val="0C4F75FC"/>
    <w:rsid w:val="0C516EDE"/>
    <w:rsid w:val="0C5308DD"/>
    <w:rsid w:val="0C571AE4"/>
    <w:rsid w:val="0C6048CE"/>
    <w:rsid w:val="0C657153"/>
    <w:rsid w:val="0C69640B"/>
    <w:rsid w:val="0C697EE9"/>
    <w:rsid w:val="0C6C5671"/>
    <w:rsid w:val="0C8E57F0"/>
    <w:rsid w:val="0C943AA2"/>
    <w:rsid w:val="0CA41B24"/>
    <w:rsid w:val="0CB452D9"/>
    <w:rsid w:val="0CB8153E"/>
    <w:rsid w:val="0CB952B6"/>
    <w:rsid w:val="0CBB52FD"/>
    <w:rsid w:val="0CC14251"/>
    <w:rsid w:val="0CC51EAD"/>
    <w:rsid w:val="0CCA5A00"/>
    <w:rsid w:val="0CCD37E3"/>
    <w:rsid w:val="0CCF6E73"/>
    <w:rsid w:val="0CD43A43"/>
    <w:rsid w:val="0CDE6ACB"/>
    <w:rsid w:val="0CEF15E1"/>
    <w:rsid w:val="0CF028BE"/>
    <w:rsid w:val="0CF54541"/>
    <w:rsid w:val="0CFF53BF"/>
    <w:rsid w:val="0D0B72A4"/>
    <w:rsid w:val="0D110C4F"/>
    <w:rsid w:val="0D1349C7"/>
    <w:rsid w:val="0D272220"/>
    <w:rsid w:val="0D2766C4"/>
    <w:rsid w:val="0D3037CB"/>
    <w:rsid w:val="0D382877"/>
    <w:rsid w:val="0D3844B6"/>
    <w:rsid w:val="0D3A117D"/>
    <w:rsid w:val="0D461432"/>
    <w:rsid w:val="0D4B64C4"/>
    <w:rsid w:val="0D55328B"/>
    <w:rsid w:val="0D5612E6"/>
    <w:rsid w:val="0D5D20E6"/>
    <w:rsid w:val="0D5E27C7"/>
    <w:rsid w:val="0D666D0A"/>
    <w:rsid w:val="0D704AA1"/>
    <w:rsid w:val="0D717242"/>
    <w:rsid w:val="0D89320B"/>
    <w:rsid w:val="0D8A556E"/>
    <w:rsid w:val="0D8F6C48"/>
    <w:rsid w:val="0D9C5BE4"/>
    <w:rsid w:val="0D9D0464"/>
    <w:rsid w:val="0DA72068"/>
    <w:rsid w:val="0DAF0665"/>
    <w:rsid w:val="0DC861A2"/>
    <w:rsid w:val="0DC877EB"/>
    <w:rsid w:val="0DDB1C4B"/>
    <w:rsid w:val="0DE22FC4"/>
    <w:rsid w:val="0DF145DB"/>
    <w:rsid w:val="0DFC7063"/>
    <w:rsid w:val="0E0124B9"/>
    <w:rsid w:val="0E0407B3"/>
    <w:rsid w:val="0E0D1416"/>
    <w:rsid w:val="0E0D203E"/>
    <w:rsid w:val="0E0D74EB"/>
    <w:rsid w:val="0E110D06"/>
    <w:rsid w:val="0E117E39"/>
    <w:rsid w:val="0E1529C0"/>
    <w:rsid w:val="0E15322B"/>
    <w:rsid w:val="0E1B1458"/>
    <w:rsid w:val="0E26072A"/>
    <w:rsid w:val="0E2F130A"/>
    <w:rsid w:val="0E3D4330"/>
    <w:rsid w:val="0E476820"/>
    <w:rsid w:val="0E4B0190"/>
    <w:rsid w:val="0E4B734D"/>
    <w:rsid w:val="0E4D5CB6"/>
    <w:rsid w:val="0E5965D0"/>
    <w:rsid w:val="0E5F7D31"/>
    <w:rsid w:val="0E645F25"/>
    <w:rsid w:val="0E717B67"/>
    <w:rsid w:val="0E7A3092"/>
    <w:rsid w:val="0E856333"/>
    <w:rsid w:val="0E946C3D"/>
    <w:rsid w:val="0EA07C89"/>
    <w:rsid w:val="0EA10664"/>
    <w:rsid w:val="0EA62703"/>
    <w:rsid w:val="0EA831C3"/>
    <w:rsid w:val="0EAF7E38"/>
    <w:rsid w:val="0EB056C2"/>
    <w:rsid w:val="0EB164FB"/>
    <w:rsid w:val="0EB307AE"/>
    <w:rsid w:val="0EB67D00"/>
    <w:rsid w:val="0EBB384D"/>
    <w:rsid w:val="0ECA7307"/>
    <w:rsid w:val="0ECE329B"/>
    <w:rsid w:val="0ECE3D40"/>
    <w:rsid w:val="0ED66C65"/>
    <w:rsid w:val="0ED84EC1"/>
    <w:rsid w:val="0EDA726C"/>
    <w:rsid w:val="0EDE23CA"/>
    <w:rsid w:val="0EDE2DB2"/>
    <w:rsid w:val="0EE037F8"/>
    <w:rsid w:val="0EE24651"/>
    <w:rsid w:val="0EEC0B80"/>
    <w:rsid w:val="0EEC494A"/>
    <w:rsid w:val="0EED29A8"/>
    <w:rsid w:val="0EF32845"/>
    <w:rsid w:val="0EF425D6"/>
    <w:rsid w:val="0EF62281"/>
    <w:rsid w:val="0EF6634E"/>
    <w:rsid w:val="0EFD592E"/>
    <w:rsid w:val="0EFF16A6"/>
    <w:rsid w:val="0F097FB6"/>
    <w:rsid w:val="0F1113DA"/>
    <w:rsid w:val="0F124634"/>
    <w:rsid w:val="0F13775A"/>
    <w:rsid w:val="0F36499C"/>
    <w:rsid w:val="0F3D7037"/>
    <w:rsid w:val="0F44355D"/>
    <w:rsid w:val="0F4E054F"/>
    <w:rsid w:val="0F4E27DE"/>
    <w:rsid w:val="0F4E618A"/>
    <w:rsid w:val="0F615D38"/>
    <w:rsid w:val="0F627C5C"/>
    <w:rsid w:val="0F6C64AC"/>
    <w:rsid w:val="0F73174D"/>
    <w:rsid w:val="0F760811"/>
    <w:rsid w:val="0F77022E"/>
    <w:rsid w:val="0F7B7789"/>
    <w:rsid w:val="0F8C6CB2"/>
    <w:rsid w:val="0F905300"/>
    <w:rsid w:val="0F9A112B"/>
    <w:rsid w:val="0F9F2542"/>
    <w:rsid w:val="0FA44A0C"/>
    <w:rsid w:val="0FA45DAA"/>
    <w:rsid w:val="0FAD1D69"/>
    <w:rsid w:val="0FB277A7"/>
    <w:rsid w:val="0FBA7763"/>
    <w:rsid w:val="0FBC7583"/>
    <w:rsid w:val="0FBE7C1C"/>
    <w:rsid w:val="0FCB0EB9"/>
    <w:rsid w:val="0FCB77DB"/>
    <w:rsid w:val="0FD21FD6"/>
    <w:rsid w:val="0FE52066"/>
    <w:rsid w:val="0FE75D28"/>
    <w:rsid w:val="0FF00514"/>
    <w:rsid w:val="0FF17A3B"/>
    <w:rsid w:val="0FF9039B"/>
    <w:rsid w:val="0FF9584D"/>
    <w:rsid w:val="10042CED"/>
    <w:rsid w:val="10044A9B"/>
    <w:rsid w:val="100552EA"/>
    <w:rsid w:val="10067A62"/>
    <w:rsid w:val="100B2F46"/>
    <w:rsid w:val="100E78F0"/>
    <w:rsid w:val="10134185"/>
    <w:rsid w:val="101F0C89"/>
    <w:rsid w:val="10207B26"/>
    <w:rsid w:val="102524A1"/>
    <w:rsid w:val="10414F3D"/>
    <w:rsid w:val="10466E61"/>
    <w:rsid w:val="104D4694"/>
    <w:rsid w:val="10584837"/>
    <w:rsid w:val="105911B9"/>
    <w:rsid w:val="10611EED"/>
    <w:rsid w:val="10686DD7"/>
    <w:rsid w:val="106D2F64"/>
    <w:rsid w:val="106F48CD"/>
    <w:rsid w:val="1075073F"/>
    <w:rsid w:val="107E2579"/>
    <w:rsid w:val="107F4121"/>
    <w:rsid w:val="10813548"/>
    <w:rsid w:val="10863702"/>
    <w:rsid w:val="10891289"/>
    <w:rsid w:val="108F25B6"/>
    <w:rsid w:val="10A11A07"/>
    <w:rsid w:val="10AB23EA"/>
    <w:rsid w:val="10B63710"/>
    <w:rsid w:val="10BB15FD"/>
    <w:rsid w:val="10C33051"/>
    <w:rsid w:val="10CC54A2"/>
    <w:rsid w:val="10D27A54"/>
    <w:rsid w:val="10D333E4"/>
    <w:rsid w:val="10D3604C"/>
    <w:rsid w:val="10D75A1D"/>
    <w:rsid w:val="10E76F03"/>
    <w:rsid w:val="10ED3781"/>
    <w:rsid w:val="10EF2725"/>
    <w:rsid w:val="10F25B74"/>
    <w:rsid w:val="10FC259F"/>
    <w:rsid w:val="11090CCA"/>
    <w:rsid w:val="11101F44"/>
    <w:rsid w:val="11131439"/>
    <w:rsid w:val="111B69E8"/>
    <w:rsid w:val="111C2F7A"/>
    <w:rsid w:val="11205904"/>
    <w:rsid w:val="11271B02"/>
    <w:rsid w:val="11290C5D"/>
    <w:rsid w:val="113013DE"/>
    <w:rsid w:val="1138378B"/>
    <w:rsid w:val="114212BF"/>
    <w:rsid w:val="1148696D"/>
    <w:rsid w:val="114F22E1"/>
    <w:rsid w:val="11564B24"/>
    <w:rsid w:val="115769EC"/>
    <w:rsid w:val="11592BC4"/>
    <w:rsid w:val="115C6273"/>
    <w:rsid w:val="115F642C"/>
    <w:rsid w:val="11640E28"/>
    <w:rsid w:val="11776C7E"/>
    <w:rsid w:val="117933E0"/>
    <w:rsid w:val="117E51E4"/>
    <w:rsid w:val="11800151"/>
    <w:rsid w:val="118440E5"/>
    <w:rsid w:val="11932122"/>
    <w:rsid w:val="119D7D4F"/>
    <w:rsid w:val="119F7542"/>
    <w:rsid w:val="11A02C31"/>
    <w:rsid w:val="11A44662"/>
    <w:rsid w:val="11A52973"/>
    <w:rsid w:val="11B00A36"/>
    <w:rsid w:val="11B229B5"/>
    <w:rsid w:val="11B524F0"/>
    <w:rsid w:val="11C803B6"/>
    <w:rsid w:val="11CB5358"/>
    <w:rsid w:val="11D5303C"/>
    <w:rsid w:val="11D931AD"/>
    <w:rsid w:val="11D97323"/>
    <w:rsid w:val="11DC7478"/>
    <w:rsid w:val="11E15093"/>
    <w:rsid w:val="11EB3167"/>
    <w:rsid w:val="11EE4989"/>
    <w:rsid w:val="11EF0BF1"/>
    <w:rsid w:val="11F21D8B"/>
    <w:rsid w:val="11F701F1"/>
    <w:rsid w:val="11FB3C21"/>
    <w:rsid w:val="11FC193D"/>
    <w:rsid w:val="12011292"/>
    <w:rsid w:val="120D40DA"/>
    <w:rsid w:val="12110F1D"/>
    <w:rsid w:val="1213496E"/>
    <w:rsid w:val="121511E1"/>
    <w:rsid w:val="1218482D"/>
    <w:rsid w:val="12274A70"/>
    <w:rsid w:val="122B06C2"/>
    <w:rsid w:val="122C07A2"/>
    <w:rsid w:val="122E0B42"/>
    <w:rsid w:val="1235718D"/>
    <w:rsid w:val="12394ECF"/>
    <w:rsid w:val="12413CE6"/>
    <w:rsid w:val="12466189"/>
    <w:rsid w:val="12521AED"/>
    <w:rsid w:val="125364DC"/>
    <w:rsid w:val="12616ED1"/>
    <w:rsid w:val="126632CE"/>
    <w:rsid w:val="1266498D"/>
    <w:rsid w:val="126B0E01"/>
    <w:rsid w:val="126B7053"/>
    <w:rsid w:val="126D71AA"/>
    <w:rsid w:val="126F18AA"/>
    <w:rsid w:val="127D7035"/>
    <w:rsid w:val="128C564A"/>
    <w:rsid w:val="129567E6"/>
    <w:rsid w:val="129E2F84"/>
    <w:rsid w:val="12A20E51"/>
    <w:rsid w:val="12A470E3"/>
    <w:rsid w:val="12A85BB1"/>
    <w:rsid w:val="12AA53AA"/>
    <w:rsid w:val="12B032FA"/>
    <w:rsid w:val="12C61046"/>
    <w:rsid w:val="12D71D67"/>
    <w:rsid w:val="12D8449C"/>
    <w:rsid w:val="12DF1471"/>
    <w:rsid w:val="12E33173"/>
    <w:rsid w:val="12E46A7B"/>
    <w:rsid w:val="12ED1816"/>
    <w:rsid w:val="12FE1825"/>
    <w:rsid w:val="1304194D"/>
    <w:rsid w:val="13054DB2"/>
    <w:rsid w:val="13070B2A"/>
    <w:rsid w:val="130848A2"/>
    <w:rsid w:val="13115BD4"/>
    <w:rsid w:val="13180F89"/>
    <w:rsid w:val="131E3C46"/>
    <w:rsid w:val="13217233"/>
    <w:rsid w:val="132928CA"/>
    <w:rsid w:val="13346AFF"/>
    <w:rsid w:val="1352398D"/>
    <w:rsid w:val="135447D6"/>
    <w:rsid w:val="1356560D"/>
    <w:rsid w:val="135A334F"/>
    <w:rsid w:val="13676A08"/>
    <w:rsid w:val="13877224"/>
    <w:rsid w:val="13884191"/>
    <w:rsid w:val="138915E7"/>
    <w:rsid w:val="138E124B"/>
    <w:rsid w:val="13951726"/>
    <w:rsid w:val="139A439A"/>
    <w:rsid w:val="139E4F28"/>
    <w:rsid w:val="13B64DC5"/>
    <w:rsid w:val="13BB2A9F"/>
    <w:rsid w:val="13C479B3"/>
    <w:rsid w:val="13CE7183"/>
    <w:rsid w:val="13DB3D64"/>
    <w:rsid w:val="13DF2B58"/>
    <w:rsid w:val="13F53078"/>
    <w:rsid w:val="13F82B68"/>
    <w:rsid w:val="141203D7"/>
    <w:rsid w:val="1413235F"/>
    <w:rsid w:val="141B0512"/>
    <w:rsid w:val="142C374C"/>
    <w:rsid w:val="14320964"/>
    <w:rsid w:val="14396509"/>
    <w:rsid w:val="143E0882"/>
    <w:rsid w:val="144641F2"/>
    <w:rsid w:val="1447165C"/>
    <w:rsid w:val="14495E9B"/>
    <w:rsid w:val="1453349A"/>
    <w:rsid w:val="145E0C1D"/>
    <w:rsid w:val="146C0094"/>
    <w:rsid w:val="14705A07"/>
    <w:rsid w:val="14772204"/>
    <w:rsid w:val="147D05D7"/>
    <w:rsid w:val="14832432"/>
    <w:rsid w:val="14854DAE"/>
    <w:rsid w:val="1487316F"/>
    <w:rsid w:val="14874D50"/>
    <w:rsid w:val="148803F2"/>
    <w:rsid w:val="14972381"/>
    <w:rsid w:val="14982FB4"/>
    <w:rsid w:val="149859BE"/>
    <w:rsid w:val="149A5499"/>
    <w:rsid w:val="14A1493F"/>
    <w:rsid w:val="14A15E27"/>
    <w:rsid w:val="14AB3737"/>
    <w:rsid w:val="14C30B5D"/>
    <w:rsid w:val="14CB0413"/>
    <w:rsid w:val="14D709D0"/>
    <w:rsid w:val="14D97E5E"/>
    <w:rsid w:val="14DA7E0A"/>
    <w:rsid w:val="14E044B7"/>
    <w:rsid w:val="14E71CE1"/>
    <w:rsid w:val="14FD717E"/>
    <w:rsid w:val="150138DF"/>
    <w:rsid w:val="1514659D"/>
    <w:rsid w:val="151A1FC1"/>
    <w:rsid w:val="151B6B0E"/>
    <w:rsid w:val="152D6842"/>
    <w:rsid w:val="15337178"/>
    <w:rsid w:val="15485429"/>
    <w:rsid w:val="154A73F4"/>
    <w:rsid w:val="155004AB"/>
    <w:rsid w:val="15513FC8"/>
    <w:rsid w:val="15656E31"/>
    <w:rsid w:val="15671D54"/>
    <w:rsid w:val="156A53A0"/>
    <w:rsid w:val="15703120"/>
    <w:rsid w:val="15727160"/>
    <w:rsid w:val="15826B8D"/>
    <w:rsid w:val="15853137"/>
    <w:rsid w:val="159F34E3"/>
    <w:rsid w:val="15A026A2"/>
    <w:rsid w:val="15A716E3"/>
    <w:rsid w:val="15A81C39"/>
    <w:rsid w:val="15A9236C"/>
    <w:rsid w:val="15AB2B59"/>
    <w:rsid w:val="15B77F45"/>
    <w:rsid w:val="15B861AE"/>
    <w:rsid w:val="15BD4BA8"/>
    <w:rsid w:val="15C023A3"/>
    <w:rsid w:val="15C42D02"/>
    <w:rsid w:val="15CC15EC"/>
    <w:rsid w:val="15D60C87"/>
    <w:rsid w:val="15D62A35"/>
    <w:rsid w:val="15DC63B3"/>
    <w:rsid w:val="15F27940"/>
    <w:rsid w:val="15F97291"/>
    <w:rsid w:val="15FC5BCD"/>
    <w:rsid w:val="15FE0E2B"/>
    <w:rsid w:val="15FF01DE"/>
    <w:rsid w:val="160A26DF"/>
    <w:rsid w:val="160B440A"/>
    <w:rsid w:val="160B464E"/>
    <w:rsid w:val="160D7033"/>
    <w:rsid w:val="16111B0A"/>
    <w:rsid w:val="161A6DC6"/>
    <w:rsid w:val="161B669A"/>
    <w:rsid w:val="1626576B"/>
    <w:rsid w:val="162A2020"/>
    <w:rsid w:val="162B4962"/>
    <w:rsid w:val="16373BEC"/>
    <w:rsid w:val="163F11A0"/>
    <w:rsid w:val="16404E79"/>
    <w:rsid w:val="164674DE"/>
    <w:rsid w:val="164D1C3F"/>
    <w:rsid w:val="16501151"/>
    <w:rsid w:val="165242DB"/>
    <w:rsid w:val="16534086"/>
    <w:rsid w:val="16556050"/>
    <w:rsid w:val="166660AA"/>
    <w:rsid w:val="166718DF"/>
    <w:rsid w:val="16774218"/>
    <w:rsid w:val="1680548D"/>
    <w:rsid w:val="168D57EA"/>
    <w:rsid w:val="169721C5"/>
    <w:rsid w:val="16A06D76"/>
    <w:rsid w:val="16A45735"/>
    <w:rsid w:val="16AC34C7"/>
    <w:rsid w:val="16B5089D"/>
    <w:rsid w:val="16B56AEF"/>
    <w:rsid w:val="16B826B1"/>
    <w:rsid w:val="16BB6EF2"/>
    <w:rsid w:val="16C0549F"/>
    <w:rsid w:val="16C730F7"/>
    <w:rsid w:val="16CA0451"/>
    <w:rsid w:val="16CB0F84"/>
    <w:rsid w:val="16D04AAB"/>
    <w:rsid w:val="16D15188"/>
    <w:rsid w:val="16D55188"/>
    <w:rsid w:val="16D92F79"/>
    <w:rsid w:val="16DB5131"/>
    <w:rsid w:val="16F01CA5"/>
    <w:rsid w:val="16F24737"/>
    <w:rsid w:val="16F413C5"/>
    <w:rsid w:val="16F62E92"/>
    <w:rsid w:val="16F94C52"/>
    <w:rsid w:val="16FE0496"/>
    <w:rsid w:val="1701702A"/>
    <w:rsid w:val="170B15F3"/>
    <w:rsid w:val="17130116"/>
    <w:rsid w:val="17242CEB"/>
    <w:rsid w:val="17284735"/>
    <w:rsid w:val="172A0FAC"/>
    <w:rsid w:val="17344D4B"/>
    <w:rsid w:val="173A5DDB"/>
    <w:rsid w:val="174410FF"/>
    <w:rsid w:val="1747322C"/>
    <w:rsid w:val="17487A1E"/>
    <w:rsid w:val="17495D92"/>
    <w:rsid w:val="17505787"/>
    <w:rsid w:val="17543A68"/>
    <w:rsid w:val="17563E2E"/>
    <w:rsid w:val="17577A16"/>
    <w:rsid w:val="17606A5A"/>
    <w:rsid w:val="17606B59"/>
    <w:rsid w:val="17607099"/>
    <w:rsid w:val="176C69FB"/>
    <w:rsid w:val="176E49A0"/>
    <w:rsid w:val="176F6C9D"/>
    <w:rsid w:val="17730E9B"/>
    <w:rsid w:val="17735226"/>
    <w:rsid w:val="17781D54"/>
    <w:rsid w:val="177E593A"/>
    <w:rsid w:val="17800862"/>
    <w:rsid w:val="17903431"/>
    <w:rsid w:val="17966920"/>
    <w:rsid w:val="179B2508"/>
    <w:rsid w:val="17AB69E5"/>
    <w:rsid w:val="17B16840"/>
    <w:rsid w:val="17B70657"/>
    <w:rsid w:val="17C12B4D"/>
    <w:rsid w:val="17D13FA2"/>
    <w:rsid w:val="17D47EF4"/>
    <w:rsid w:val="17D74C08"/>
    <w:rsid w:val="17DA4DF3"/>
    <w:rsid w:val="17DE4DA4"/>
    <w:rsid w:val="17ED1411"/>
    <w:rsid w:val="17EE076A"/>
    <w:rsid w:val="17EF03B5"/>
    <w:rsid w:val="17F34318"/>
    <w:rsid w:val="18003D99"/>
    <w:rsid w:val="18023A80"/>
    <w:rsid w:val="18041ADC"/>
    <w:rsid w:val="18061116"/>
    <w:rsid w:val="180C0990"/>
    <w:rsid w:val="18135D05"/>
    <w:rsid w:val="18245CDA"/>
    <w:rsid w:val="18251A52"/>
    <w:rsid w:val="182F17B2"/>
    <w:rsid w:val="183104D9"/>
    <w:rsid w:val="18322780"/>
    <w:rsid w:val="1844637C"/>
    <w:rsid w:val="184958B6"/>
    <w:rsid w:val="184D216A"/>
    <w:rsid w:val="185D2A7F"/>
    <w:rsid w:val="18664544"/>
    <w:rsid w:val="1869286E"/>
    <w:rsid w:val="186A2B45"/>
    <w:rsid w:val="18707171"/>
    <w:rsid w:val="187327BD"/>
    <w:rsid w:val="18787E06"/>
    <w:rsid w:val="18831A24"/>
    <w:rsid w:val="1884691C"/>
    <w:rsid w:val="188624F1"/>
    <w:rsid w:val="188E5E3A"/>
    <w:rsid w:val="188E7164"/>
    <w:rsid w:val="189310B2"/>
    <w:rsid w:val="189403D7"/>
    <w:rsid w:val="189D1475"/>
    <w:rsid w:val="18A8546B"/>
    <w:rsid w:val="18B03A11"/>
    <w:rsid w:val="18B34130"/>
    <w:rsid w:val="18B43502"/>
    <w:rsid w:val="18B93AAF"/>
    <w:rsid w:val="18B96041"/>
    <w:rsid w:val="18BC5F12"/>
    <w:rsid w:val="18C23506"/>
    <w:rsid w:val="18C305A6"/>
    <w:rsid w:val="18C76EA7"/>
    <w:rsid w:val="18CC437C"/>
    <w:rsid w:val="18E57DF3"/>
    <w:rsid w:val="18E831AB"/>
    <w:rsid w:val="18F41E24"/>
    <w:rsid w:val="18F7519C"/>
    <w:rsid w:val="190A3122"/>
    <w:rsid w:val="190F698A"/>
    <w:rsid w:val="191224D3"/>
    <w:rsid w:val="19177C4F"/>
    <w:rsid w:val="19186480"/>
    <w:rsid w:val="192455D8"/>
    <w:rsid w:val="19352975"/>
    <w:rsid w:val="193D6A8B"/>
    <w:rsid w:val="19457793"/>
    <w:rsid w:val="194C5BDC"/>
    <w:rsid w:val="194D2A56"/>
    <w:rsid w:val="194D74B2"/>
    <w:rsid w:val="19506EDE"/>
    <w:rsid w:val="195A5B60"/>
    <w:rsid w:val="195C2DE5"/>
    <w:rsid w:val="195E5484"/>
    <w:rsid w:val="197653DC"/>
    <w:rsid w:val="19783CAE"/>
    <w:rsid w:val="197D60B1"/>
    <w:rsid w:val="197F7013"/>
    <w:rsid w:val="19805B68"/>
    <w:rsid w:val="19836A30"/>
    <w:rsid w:val="19932D33"/>
    <w:rsid w:val="199B6470"/>
    <w:rsid w:val="19A203DD"/>
    <w:rsid w:val="19BA402A"/>
    <w:rsid w:val="19BE5470"/>
    <w:rsid w:val="19C92EAF"/>
    <w:rsid w:val="19DC3C64"/>
    <w:rsid w:val="19DE236B"/>
    <w:rsid w:val="19DF45AE"/>
    <w:rsid w:val="19EB0557"/>
    <w:rsid w:val="19ED6C08"/>
    <w:rsid w:val="19F22D3A"/>
    <w:rsid w:val="19FB12A0"/>
    <w:rsid w:val="1A023DF9"/>
    <w:rsid w:val="1A046E33"/>
    <w:rsid w:val="1A097C5F"/>
    <w:rsid w:val="1A0F7B3F"/>
    <w:rsid w:val="1A160DC1"/>
    <w:rsid w:val="1A1C2AF3"/>
    <w:rsid w:val="1A1C50C0"/>
    <w:rsid w:val="1A1C66C0"/>
    <w:rsid w:val="1A1D0C33"/>
    <w:rsid w:val="1A1F2EA8"/>
    <w:rsid w:val="1A231FC1"/>
    <w:rsid w:val="1A2322CE"/>
    <w:rsid w:val="1A235F7D"/>
    <w:rsid w:val="1A26633B"/>
    <w:rsid w:val="1A2C70C8"/>
    <w:rsid w:val="1A361463"/>
    <w:rsid w:val="1A385A6D"/>
    <w:rsid w:val="1A3A4BA3"/>
    <w:rsid w:val="1A42393B"/>
    <w:rsid w:val="1A472154"/>
    <w:rsid w:val="1A4C776A"/>
    <w:rsid w:val="1A4F7B88"/>
    <w:rsid w:val="1A525BDA"/>
    <w:rsid w:val="1A566683"/>
    <w:rsid w:val="1A5A0CCB"/>
    <w:rsid w:val="1A5F124B"/>
    <w:rsid w:val="1A755B2F"/>
    <w:rsid w:val="1A79495F"/>
    <w:rsid w:val="1A7B6CA6"/>
    <w:rsid w:val="1A864F50"/>
    <w:rsid w:val="1A8C06D1"/>
    <w:rsid w:val="1A91517D"/>
    <w:rsid w:val="1A962E09"/>
    <w:rsid w:val="1A992762"/>
    <w:rsid w:val="1AA32AB2"/>
    <w:rsid w:val="1AA844E0"/>
    <w:rsid w:val="1AB14BAB"/>
    <w:rsid w:val="1ABC044C"/>
    <w:rsid w:val="1AC54084"/>
    <w:rsid w:val="1AD444D3"/>
    <w:rsid w:val="1AD46BD6"/>
    <w:rsid w:val="1AD5775F"/>
    <w:rsid w:val="1AD67E20"/>
    <w:rsid w:val="1ADE76EC"/>
    <w:rsid w:val="1AE06FED"/>
    <w:rsid w:val="1AF22033"/>
    <w:rsid w:val="1AF3697F"/>
    <w:rsid w:val="1AF62296"/>
    <w:rsid w:val="1B046F80"/>
    <w:rsid w:val="1B09565B"/>
    <w:rsid w:val="1B204C72"/>
    <w:rsid w:val="1B2A7AAB"/>
    <w:rsid w:val="1B3267B5"/>
    <w:rsid w:val="1B395F40"/>
    <w:rsid w:val="1B405C33"/>
    <w:rsid w:val="1B44703D"/>
    <w:rsid w:val="1B4616EB"/>
    <w:rsid w:val="1B4E1A47"/>
    <w:rsid w:val="1B50328A"/>
    <w:rsid w:val="1B5468D6"/>
    <w:rsid w:val="1B5F5A88"/>
    <w:rsid w:val="1B633F83"/>
    <w:rsid w:val="1B740AB0"/>
    <w:rsid w:val="1B8152BE"/>
    <w:rsid w:val="1B8371BB"/>
    <w:rsid w:val="1B844DE8"/>
    <w:rsid w:val="1B901C98"/>
    <w:rsid w:val="1B9238A2"/>
    <w:rsid w:val="1BB26EFB"/>
    <w:rsid w:val="1BB557B4"/>
    <w:rsid w:val="1BBD091F"/>
    <w:rsid w:val="1BC25DC8"/>
    <w:rsid w:val="1BC72207"/>
    <w:rsid w:val="1BCC1517"/>
    <w:rsid w:val="1BCF390A"/>
    <w:rsid w:val="1BD82632"/>
    <w:rsid w:val="1BD84397"/>
    <w:rsid w:val="1BE51673"/>
    <w:rsid w:val="1BE53628"/>
    <w:rsid w:val="1BEE6DFD"/>
    <w:rsid w:val="1BF83E98"/>
    <w:rsid w:val="1C077DEC"/>
    <w:rsid w:val="1C095F13"/>
    <w:rsid w:val="1C152EA4"/>
    <w:rsid w:val="1C225E36"/>
    <w:rsid w:val="1C275D99"/>
    <w:rsid w:val="1C29608F"/>
    <w:rsid w:val="1C4C3A51"/>
    <w:rsid w:val="1C5020B1"/>
    <w:rsid w:val="1C54107D"/>
    <w:rsid w:val="1C5460C6"/>
    <w:rsid w:val="1C5C336C"/>
    <w:rsid w:val="1C5E7925"/>
    <w:rsid w:val="1C654B13"/>
    <w:rsid w:val="1C761883"/>
    <w:rsid w:val="1C780D06"/>
    <w:rsid w:val="1C7A07EC"/>
    <w:rsid w:val="1C7D608D"/>
    <w:rsid w:val="1C887FC8"/>
    <w:rsid w:val="1C8F393E"/>
    <w:rsid w:val="1C94588E"/>
    <w:rsid w:val="1C9812DE"/>
    <w:rsid w:val="1CA52C3F"/>
    <w:rsid w:val="1CA675C0"/>
    <w:rsid w:val="1CB24FF4"/>
    <w:rsid w:val="1CB47291"/>
    <w:rsid w:val="1CB57848"/>
    <w:rsid w:val="1CB60B8D"/>
    <w:rsid w:val="1CCC06EE"/>
    <w:rsid w:val="1CCD536B"/>
    <w:rsid w:val="1CD5426B"/>
    <w:rsid w:val="1CDA3F8A"/>
    <w:rsid w:val="1CDE23A4"/>
    <w:rsid w:val="1CE4012E"/>
    <w:rsid w:val="1CEB15AB"/>
    <w:rsid w:val="1CED1AC3"/>
    <w:rsid w:val="1CF36F0F"/>
    <w:rsid w:val="1CFB509E"/>
    <w:rsid w:val="1CFD3B8D"/>
    <w:rsid w:val="1D085F4D"/>
    <w:rsid w:val="1D091942"/>
    <w:rsid w:val="1D093869"/>
    <w:rsid w:val="1D0F0801"/>
    <w:rsid w:val="1D1D776D"/>
    <w:rsid w:val="1D1F4058"/>
    <w:rsid w:val="1D204EAB"/>
    <w:rsid w:val="1D28767A"/>
    <w:rsid w:val="1D287E95"/>
    <w:rsid w:val="1D291B41"/>
    <w:rsid w:val="1D314095"/>
    <w:rsid w:val="1D353C90"/>
    <w:rsid w:val="1D366AC4"/>
    <w:rsid w:val="1D3D339A"/>
    <w:rsid w:val="1D411619"/>
    <w:rsid w:val="1D460656"/>
    <w:rsid w:val="1D48327B"/>
    <w:rsid w:val="1D5030CD"/>
    <w:rsid w:val="1D5F6196"/>
    <w:rsid w:val="1D6132A5"/>
    <w:rsid w:val="1D632EBE"/>
    <w:rsid w:val="1D6F23E6"/>
    <w:rsid w:val="1D78695B"/>
    <w:rsid w:val="1D807E56"/>
    <w:rsid w:val="1D846347"/>
    <w:rsid w:val="1D8A1491"/>
    <w:rsid w:val="1D8D2573"/>
    <w:rsid w:val="1D8E56D5"/>
    <w:rsid w:val="1D92545C"/>
    <w:rsid w:val="1DA3336E"/>
    <w:rsid w:val="1DA34EBE"/>
    <w:rsid w:val="1DA62689"/>
    <w:rsid w:val="1DA90A2F"/>
    <w:rsid w:val="1DAE7561"/>
    <w:rsid w:val="1DB06619"/>
    <w:rsid w:val="1DB45EB7"/>
    <w:rsid w:val="1DB47B00"/>
    <w:rsid w:val="1DC72D0E"/>
    <w:rsid w:val="1DC83B88"/>
    <w:rsid w:val="1DC85E97"/>
    <w:rsid w:val="1DD37BE4"/>
    <w:rsid w:val="1DDE0518"/>
    <w:rsid w:val="1DDE692B"/>
    <w:rsid w:val="1DE32193"/>
    <w:rsid w:val="1DE47350"/>
    <w:rsid w:val="1DE56B46"/>
    <w:rsid w:val="1DEA1774"/>
    <w:rsid w:val="1DEE45DB"/>
    <w:rsid w:val="1DF9253D"/>
    <w:rsid w:val="1DFD6804"/>
    <w:rsid w:val="1DFE1B86"/>
    <w:rsid w:val="1E0411DE"/>
    <w:rsid w:val="1E043B06"/>
    <w:rsid w:val="1E0560BF"/>
    <w:rsid w:val="1E1602B3"/>
    <w:rsid w:val="1E247147"/>
    <w:rsid w:val="1E27572A"/>
    <w:rsid w:val="1E3B1FCF"/>
    <w:rsid w:val="1E404D81"/>
    <w:rsid w:val="1E423CCF"/>
    <w:rsid w:val="1E4D585F"/>
    <w:rsid w:val="1E5135A1"/>
    <w:rsid w:val="1E580583"/>
    <w:rsid w:val="1E585C14"/>
    <w:rsid w:val="1E5E181A"/>
    <w:rsid w:val="1E617F6C"/>
    <w:rsid w:val="1E7A43DA"/>
    <w:rsid w:val="1E7B061E"/>
    <w:rsid w:val="1E7C3ED9"/>
    <w:rsid w:val="1E825578"/>
    <w:rsid w:val="1E854FF8"/>
    <w:rsid w:val="1E893A8A"/>
    <w:rsid w:val="1E8A1293"/>
    <w:rsid w:val="1E8C3F82"/>
    <w:rsid w:val="1E912349"/>
    <w:rsid w:val="1E9D2E53"/>
    <w:rsid w:val="1E9F4582"/>
    <w:rsid w:val="1E9F643B"/>
    <w:rsid w:val="1EA5569B"/>
    <w:rsid w:val="1EA91422"/>
    <w:rsid w:val="1EAB7E95"/>
    <w:rsid w:val="1EAF2B59"/>
    <w:rsid w:val="1EB277FE"/>
    <w:rsid w:val="1EB804FA"/>
    <w:rsid w:val="1EBD61CB"/>
    <w:rsid w:val="1EC11833"/>
    <w:rsid w:val="1EC27FFB"/>
    <w:rsid w:val="1EC30F48"/>
    <w:rsid w:val="1ECD32A4"/>
    <w:rsid w:val="1EE7283A"/>
    <w:rsid w:val="1EED0A2C"/>
    <w:rsid w:val="1EFF2F91"/>
    <w:rsid w:val="1F0202D4"/>
    <w:rsid w:val="1F074B01"/>
    <w:rsid w:val="1F091A51"/>
    <w:rsid w:val="1F0B19A2"/>
    <w:rsid w:val="1F0B44C1"/>
    <w:rsid w:val="1F0C058A"/>
    <w:rsid w:val="1F152BAE"/>
    <w:rsid w:val="1F192001"/>
    <w:rsid w:val="1F206A06"/>
    <w:rsid w:val="1F3102E2"/>
    <w:rsid w:val="1F3321C3"/>
    <w:rsid w:val="1F3475BD"/>
    <w:rsid w:val="1F43738D"/>
    <w:rsid w:val="1F462859"/>
    <w:rsid w:val="1F4C5B16"/>
    <w:rsid w:val="1F4E188E"/>
    <w:rsid w:val="1F544111"/>
    <w:rsid w:val="1F572E39"/>
    <w:rsid w:val="1F5D60AD"/>
    <w:rsid w:val="1F6E1F30"/>
    <w:rsid w:val="1F770DE5"/>
    <w:rsid w:val="1F7E0ECB"/>
    <w:rsid w:val="1F7E6617"/>
    <w:rsid w:val="1F8434C0"/>
    <w:rsid w:val="1F972CAE"/>
    <w:rsid w:val="1FB652D1"/>
    <w:rsid w:val="1FBA493A"/>
    <w:rsid w:val="1FBF0009"/>
    <w:rsid w:val="1FD44B73"/>
    <w:rsid w:val="1FD642AB"/>
    <w:rsid w:val="1FD955FC"/>
    <w:rsid w:val="1FDF6603"/>
    <w:rsid w:val="1FE34A68"/>
    <w:rsid w:val="1FE7539E"/>
    <w:rsid w:val="1FEC17D3"/>
    <w:rsid w:val="1FEF2948"/>
    <w:rsid w:val="1FF1612D"/>
    <w:rsid w:val="20041C8A"/>
    <w:rsid w:val="200545EF"/>
    <w:rsid w:val="20077DB8"/>
    <w:rsid w:val="2009466C"/>
    <w:rsid w:val="200B7604"/>
    <w:rsid w:val="2011123A"/>
    <w:rsid w:val="20166850"/>
    <w:rsid w:val="20206DAE"/>
    <w:rsid w:val="20256A93"/>
    <w:rsid w:val="20285831"/>
    <w:rsid w:val="20303E66"/>
    <w:rsid w:val="20337402"/>
    <w:rsid w:val="20347908"/>
    <w:rsid w:val="20373E1B"/>
    <w:rsid w:val="20381F61"/>
    <w:rsid w:val="203B3AD9"/>
    <w:rsid w:val="203F36E4"/>
    <w:rsid w:val="2041133D"/>
    <w:rsid w:val="2047154D"/>
    <w:rsid w:val="20473132"/>
    <w:rsid w:val="20491554"/>
    <w:rsid w:val="204C4020"/>
    <w:rsid w:val="20621A95"/>
    <w:rsid w:val="2062288E"/>
    <w:rsid w:val="206A1057"/>
    <w:rsid w:val="206D3F96"/>
    <w:rsid w:val="206E78EC"/>
    <w:rsid w:val="2079508A"/>
    <w:rsid w:val="208D3101"/>
    <w:rsid w:val="209122D7"/>
    <w:rsid w:val="209632E6"/>
    <w:rsid w:val="20963CB8"/>
    <w:rsid w:val="209E05F3"/>
    <w:rsid w:val="20A756FA"/>
    <w:rsid w:val="20AE174A"/>
    <w:rsid w:val="20AF386E"/>
    <w:rsid w:val="20B07FB6"/>
    <w:rsid w:val="20B561E4"/>
    <w:rsid w:val="20BC3496"/>
    <w:rsid w:val="20C07FCB"/>
    <w:rsid w:val="20C65AA4"/>
    <w:rsid w:val="20D12777"/>
    <w:rsid w:val="20D858B3"/>
    <w:rsid w:val="20DE4D4E"/>
    <w:rsid w:val="20E16EF2"/>
    <w:rsid w:val="20E3489C"/>
    <w:rsid w:val="20E60BD5"/>
    <w:rsid w:val="20F841A8"/>
    <w:rsid w:val="21026DD4"/>
    <w:rsid w:val="21052421"/>
    <w:rsid w:val="2107263D"/>
    <w:rsid w:val="210B6B13"/>
    <w:rsid w:val="210F35EF"/>
    <w:rsid w:val="21166C75"/>
    <w:rsid w:val="212C4C52"/>
    <w:rsid w:val="21366A7E"/>
    <w:rsid w:val="213A3A7A"/>
    <w:rsid w:val="213B74B1"/>
    <w:rsid w:val="213D158B"/>
    <w:rsid w:val="213D70E0"/>
    <w:rsid w:val="214178FD"/>
    <w:rsid w:val="214E0B03"/>
    <w:rsid w:val="21535882"/>
    <w:rsid w:val="21594D83"/>
    <w:rsid w:val="215A2310"/>
    <w:rsid w:val="215B3ACA"/>
    <w:rsid w:val="215C4736"/>
    <w:rsid w:val="215C6183"/>
    <w:rsid w:val="216A2ED0"/>
    <w:rsid w:val="21702DBD"/>
    <w:rsid w:val="21721D47"/>
    <w:rsid w:val="21722B2B"/>
    <w:rsid w:val="2172558E"/>
    <w:rsid w:val="217603AF"/>
    <w:rsid w:val="21767950"/>
    <w:rsid w:val="217B4182"/>
    <w:rsid w:val="21817CF9"/>
    <w:rsid w:val="218617B3"/>
    <w:rsid w:val="218667B9"/>
    <w:rsid w:val="2188220B"/>
    <w:rsid w:val="219407C4"/>
    <w:rsid w:val="21970E1E"/>
    <w:rsid w:val="219A368D"/>
    <w:rsid w:val="219A525F"/>
    <w:rsid w:val="21A02662"/>
    <w:rsid w:val="21A56F2D"/>
    <w:rsid w:val="21A865F8"/>
    <w:rsid w:val="21B225A8"/>
    <w:rsid w:val="21B36919"/>
    <w:rsid w:val="21B53E47"/>
    <w:rsid w:val="21B9043A"/>
    <w:rsid w:val="21BB393B"/>
    <w:rsid w:val="21C172B9"/>
    <w:rsid w:val="21CB6593"/>
    <w:rsid w:val="21D34DAD"/>
    <w:rsid w:val="21DD1422"/>
    <w:rsid w:val="21DE25D7"/>
    <w:rsid w:val="21DE318A"/>
    <w:rsid w:val="21E7746B"/>
    <w:rsid w:val="21EE7542"/>
    <w:rsid w:val="21EF5B80"/>
    <w:rsid w:val="21F04116"/>
    <w:rsid w:val="21F04E7F"/>
    <w:rsid w:val="21F90C64"/>
    <w:rsid w:val="21FD6D7A"/>
    <w:rsid w:val="21FE5FD6"/>
    <w:rsid w:val="21FF2CD4"/>
    <w:rsid w:val="221943D6"/>
    <w:rsid w:val="2229083D"/>
    <w:rsid w:val="222B5EB7"/>
    <w:rsid w:val="22315F6D"/>
    <w:rsid w:val="223F296B"/>
    <w:rsid w:val="225464BF"/>
    <w:rsid w:val="22576990"/>
    <w:rsid w:val="22590C76"/>
    <w:rsid w:val="225B2C40"/>
    <w:rsid w:val="22612C98"/>
    <w:rsid w:val="226546C9"/>
    <w:rsid w:val="2269093F"/>
    <w:rsid w:val="227721BD"/>
    <w:rsid w:val="22803FF7"/>
    <w:rsid w:val="228046E2"/>
    <w:rsid w:val="2288155B"/>
    <w:rsid w:val="22894407"/>
    <w:rsid w:val="228C2DF9"/>
    <w:rsid w:val="2292790A"/>
    <w:rsid w:val="22942A20"/>
    <w:rsid w:val="22984321"/>
    <w:rsid w:val="22987715"/>
    <w:rsid w:val="229C4EAB"/>
    <w:rsid w:val="229F0A7E"/>
    <w:rsid w:val="22AC4931"/>
    <w:rsid w:val="22B64F4E"/>
    <w:rsid w:val="22C73E32"/>
    <w:rsid w:val="22C801ED"/>
    <w:rsid w:val="22C81958"/>
    <w:rsid w:val="22D60519"/>
    <w:rsid w:val="22DB168B"/>
    <w:rsid w:val="22DD3D55"/>
    <w:rsid w:val="22E744D4"/>
    <w:rsid w:val="22F26D0A"/>
    <w:rsid w:val="22F77E40"/>
    <w:rsid w:val="22FD7853"/>
    <w:rsid w:val="22FD7D58"/>
    <w:rsid w:val="22FF181D"/>
    <w:rsid w:val="23023F9E"/>
    <w:rsid w:val="23052E3D"/>
    <w:rsid w:val="230A3255"/>
    <w:rsid w:val="23202753"/>
    <w:rsid w:val="23221DC4"/>
    <w:rsid w:val="23284259"/>
    <w:rsid w:val="2329689A"/>
    <w:rsid w:val="232E5B44"/>
    <w:rsid w:val="23360FB7"/>
    <w:rsid w:val="233B5E98"/>
    <w:rsid w:val="2346654C"/>
    <w:rsid w:val="234A2BA6"/>
    <w:rsid w:val="235100D0"/>
    <w:rsid w:val="235654CA"/>
    <w:rsid w:val="236A2B1E"/>
    <w:rsid w:val="236D2B48"/>
    <w:rsid w:val="23700025"/>
    <w:rsid w:val="2370030C"/>
    <w:rsid w:val="237627CA"/>
    <w:rsid w:val="2391082F"/>
    <w:rsid w:val="239214C6"/>
    <w:rsid w:val="23A91789"/>
    <w:rsid w:val="23B83C9F"/>
    <w:rsid w:val="23BA5744"/>
    <w:rsid w:val="23BB0C36"/>
    <w:rsid w:val="23C10881"/>
    <w:rsid w:val="23C12F77"/>
    <w:rsid w:val="23E12CD1"/>
    <w:rsid w:val="23F35334"/>
    <w:rsid w:val="23FF13A9"/>
    <w:rsid w:val="23FF1DBC"/>
    <w:rsid w:val="24035FEA"/>
    <w:rsid w:val="24172B97"/>
    <w:rsid w:val="241C50AD"/>
    <w:rsid w:val="24280211"/>
    <w:rsid w:val="24361D9D"/>
    <w:rsid w:val="243B79F8"/>
    <w:rsid w:val="243F4E5E"/>
    <w:rsid w:val="244119C2"/>
    <w:rsid w:val="24436C1A"/>
    <w:rsid w:val="244A05A3"/>
    <w:rsid w:val="24647600"/>
    <w:rsid w:val="24763B37"/>
    <w:rsid w:val="24765B0F"/>
    <w:rsid w:val="24777AC9"/>
    <w:rsid w:val="24853FA4"/>
    <w:rsid w:val="248C71DE"/>
    <w:rsid w:val="24975A86"/>
    <w:rsid w:val="249A09F2"/>
    <w:rsid w:val="24A41BD7"/>
    <w:rsid w:val="24A66B5B"/>
    <w:rsid w:val="24AA0DAA"/>
    <w:rsid w:val="24AB6598"/>
    <w:rsid w:val="24BD3D11"/>
    <w:rsid w:val="24C24C53"/>
    <w:rsid w:val="24C678C7"/>
    <w:rsid w:val="24D309E8"/>
    <w:rsid w:val="24EF58C2"/>
    <w:rsid w:val="24F46A34"/>
    <w:rsid w:val="24FE5B05"/>
    <w:rsid w:val="25005E54"/>
    <w:rsid w:val="25031E0F"/>
    <w:rsid w:val="25056175"/>
    <w:rsid w:val="250813B2"/>
    <w:rsid w:val="250D6C29"/>
    <w:rsid w:val="251C5B14"/>
    <w:rsid w:val="25207829"/>
    <w:rsid w:val="25265D9F"/>
    <w:rsid w:val="252B4B4C"/>
    <w:rsid w:val="252D53FE"/>
    <w:rsid w:val="25453733"/>
    <w:rsid w:val="25457290"/>
    <w:rsid w:val="25551263"/>
    <w:rsid w:val="255676D4"/>
    <w:rsid w:val="256A63BB"/>
    <w:rsid w:val="257260E8"/>
    <w:rsid w:val="257412D0"/>
    <w:rsid w:val="25763277"/>
    <w:rsid w:val="2579128D"/>
    <w:rsid w:val="257D585A"/>
    <w:rsid w:val="25861AE3"/>
    <w:rsid w:val="258636AA"/>
    <w:rsid w:val="259A75DB"/>
    <w:rsid w:val="259D70CC"/>
    <w:rsid w:val="25B35039"/>
    <w:rsid w:val="25B46952"/>
    <w:rsid w:val="25B975C5"/>
    <w:rsid w:val="25E00AD1"/>
    <w:rsid w:val="25E42F4C"/>
    <w:rsid w:val="25E50D97"/>
    <w:rsid w:val="25E92311"/>
    <w:rsid w:val="25EC2D81"/>
    <w:rsid w:val="25F807A6"/>
    <w:rsid w:val="25F9498E"/>
    <w:rsid w:val="25FE427D"/>
    <w:rsid w:val="260B04D9"/>
    <w:rsid w:val="260B2287"/>
    <w:rsid w:val="26111BE1"/>
    <w:rsid w:val="2629095F"/>
    <w:rsid w:val="262A0374"/>
    <w:rsid w:val="2631651F"/>
    <w:rsid w:val="26387CD4"/>
    <w:rsid w:val="263A337B"/>
    <w:rsid w:val="263F494B"/>
    <w:rsid w:val="264302E8"/>
    <w:rsid w:val="264528BD"/>
    <w:rsid w:val="264834DB"/>
    <w:rsid w:val="264B4D7A"/>
    <w:rsid w:val="264E5B47"/>
    <w:rsid w:val="26510A26"/>
    <w:rsid w:val="26593427"/>
    <w:rsid w:val="265956E8"/>
    <w:rsid w:val="265E4AAD"/>
    <w:rsid w:val="265F36B1"/>
    <w:rsid w:val="266100F9"/>
    <w:rsid w:val="26610165"/>
    <w:rsid w:val="26614E47"/>
    <w:rsid w:val="266876DA"/>
    <w:rsid w:val="26720558"/>
    <w:rsid w:val="26786F8E"/>
    <w:rsid w:val="268E5AC1"/>
    <w:rsid w:val="268E7317"/>
    <w:rsid w:val="2691283F"/>
    <w:rsid w:val="26A12BEB"/>
    <w:rsid w:val="26AC3A6A"/>
    <w:rsid w:val="26B172D2"/>
    <w:rsid w:val="26B17D20"/>
    <w:rsid w:val="26B402C7"/>
    <w:rsid w:val="26B730FC"/>
    <w:rsid w:val="26B857A0"/>
    <w:rsid w:val="26BC17D3"/>
    <w:rsid w:val="26C45926"/>
    <w:rsid w:val="26C46898"/>
    <w:rsid w:val="26C863CA"/>
    <w:rsid w:val="26CE0A58"/>
    <w:rsid w:val="26D365F5"/>
    <w:rsid w:val="26D46848"/>
    <w:rsid w:val="26DF7C14"/>
    <w:rsid w:val="26E44BFC"/>
    <w:rsid w:val="26E91774"/>
    <w:rsid w:val="26E941BB"/>
    <w:rsid w:val="26EA6879"/>
    <w:rsid w:val="26F24F01"/>
    <w:rsid w:val="26F31699"/>
    <w:rsid w:val="26FF4AE5"/>
    <w:rsid w:val="27012FBA"/>
    <w:rsid w:val="27053614"/>
    <w:rsid w:val="27081AFF"/>
    <w:rsid w:val="270C62B7"/>
    <w:rsid w:val="27105115"/>
    <w:rsid w:val="2711388A"/>
    <w:rsid w:val="271741E6"/>
    <w:rsid w:val="27183119"/>
    <w:rsid w:val="27242394"/>
    <w:rsid w:val="27252287"/>
    <w:rsid w:val="272A498F"/>
    <w:rsid w:val="272C4BAB"/>
    <w:rsid w:val="2732366D"/>
    <w:rsid w:val="273622DD"/>
    <w:rsid w:val="27387B92"/>
    <w:rsid w:val="273C1892"/>
    <w:rsid w:val="273D0B66"/>
    <w:rsid w:val="273F48DE"/>
    <w:rsid w:val="27473793"/>
    <w:rsid w:val="274C4D97"/>
    <w:rsid w:val="27627116"/>
    <w:rsid w:val="276322F4"/>
    <w:rsid w:val="276C3DCF"/>
    <w:rsid w:val="27767BD4"/>
    <w:rsid w:val="277B61E1"/>
    <w:rsid w:val="278D4E3C"/>
    <w:rsid w:val="279462AC"/>
    <w:rsid w:val="279D001C"/>
    <w:rsid w:val="279E23E0"/>
    <w:rsid w:val="27A02EA3"/>
    <w:rsid w:val="27A74232"/>
    <w:rsid w:val="27A913F0"/>
    <w:rsid w:val="27AD3239"/>
    <w:rsid w:val="27AE6F56"/>
    <w:rsid w:val="27B22392"/>
    <w:rsid w:val="27B4119A"/>
    <w:rsid w:val="27B85259"/>
    <w:rsid w:val="27C04AC9"/>
    <w:rsid w:val="27CB43C4"/>
    <w:rsid w:val="27D063FC"/>
    <w:rsid w:val="27D112AE"/>
    <w:rsid w:val="27D13614"/>
    <w:rsid w:val="27D15DD1"/>
    <w:rsid w:val="27D30A33"/>
    <w:rsid w:val="27D83B8C"/>
    <w:rsid w:val="27DB3EDB"/>
    <w:rsid w:val="27E9652D"/>
    <w:rsid w:val="27ED433A"/>
    <w:rsid w:val="27FB1FAD"/>
    <w:rsid w:val="27FF406E"/>
    <w:rsid w:val="28036E5A"/>
    <w:rsid w:val="28043432"/>
    <w:rsid w:val="28071F85"/>
    <w:rsid w:val="280F57E8"/>
    <w:rsid w:val="2810627B"/>
    <w:rsid w:val="28123DA1"/>
    <w:rsid w:val="28142ACC"/>
    <w:rsid w:val="28186EDD"/>
    <w:rsid w:val="28215D92"/>
    <w:rsid w:val="28461C9C"/>
    <w:rsid w:val="284F43A6"/>
    <w:rsid w:val="284F7111"/>
    <w:rsid w:val="28565D06"/>
    <w:rsid w:val="2860267D"/>
    <w:rsid w:val="286C4595"/>
    <w:rsid w:val="28710C54"/>
    <w:rsid w:val="287A6052"/>
    <w:rsid w:val="288E7D0E"/>
    <w:rsid w:val="288F719F"/>
    <w:rsid w:val="28A23396"/>
    <w:rsid w:val="28A26F93"/>
    <w:rsid w:val="28A76295"/>
    <w:rsid w:val="28AF339E"/>
    <w:rsid w:val="28B01054"/>
    <w:rsid w:val="28B5297E"/>
    <w:rsid w:val="28B848E9"/>
    <w:rsid w:val="28BD400E"/>
    <w:rsid w:val="28D659CC"/>
    <w:rsid w:val="28E559B8"/>
    <w:rsid w:val="28EC09E9"/>
    <w:rsid w:val="28F26D17"/>
    <w:rsid w:val="29057462"/>
    <w:rsid w:val="290C6959"/>
    <w:rsid w:val="291853E7"/>
    <w:rsid w:val="29192F0D"/>
    <w:rsid w:val="291D7223"/>
    <w:rsid w:val="29206EB8"/>
    <w:rsid w:val="29223D27"/>
    <w:rsid w:val="29252DF1"/>
    <w:rsid w:val="29281A5F"/>
    <w:rsid w:val="292E0E50"/>
    <w:rsid w:val="29324CA0"/>
    <w:rsid w:val="293D3C3C"/>
    <w:rsid w:val="293F554D"/>
    <w:rsid w:val="294206B6"/>
    <w:rsid w:val="29476E2A"/>
    <w:rsid w:val="294837F2"/>
    <w:rsid w:val="294D3222"/>
    <w:rsid w:val="29512D29"/>
    <w:rsid w:val="29535133"/>
    <w:rsid w:val="2953641F"/>
    <w:rsid w:val="295470C2"/>
    <w:rsid w:val="295F78AA"/>
    <w:rsid w:val="29600B3C"/>
    <w:rsid w:val="296A5517"/>
    <w:rsid w:val="29763EBB"/>
    <w:rsid w:val="297A26A8"/>
    <w:rsid w:val="297E0FC2"/>
    <w:rsid w:val="297E4B6B"/>
    <w:rsid w:val="29841E98"/>
    <w:rsid w:val="29860C79"/>
    <w:rsid w:val="298813C1"/>
    <w:rsid w:val="298A0C56"/>
    <w:rsid w:val="298A6197"/>
    <w:rsid w:val="298E2054"/>
    <w:rsid w:val="29964626"/>
    <w:rsid w:val="299A3FC6"/>
    <w:rsid w:val="299D58EC"/>
    <w:rsid w:val="29B175E9"/>
    <w:rsid w:val="29B844D4"/>
    <w:rsid w:val="29BC7704"/>
    <w:rsid w:val="29C364BB"/>
    <w:rsid w:val="29C3789A"/>
    <w:rsid w:val="29CE553F"/>
    <w:rsid w:val="29CE5AA6"/>
    <w:rsid w:val="29D758F5"/>
    <w:rsid w:val="29E325E0"/>
    <w:rsid w:val="29F23E8A"/>
    <w:rsid w:val="29F31BAA"/>
    <w:rsid w:val="29F574D6"/>
    <w:rsid w:val="29F85637"/>
    <w:rsid w:val="29FA064B"/>
    <w:rsid w:val="29FB25D1"/>
    <w:rsid w:val="2A0272CC"/>
    <w:rsid w:val="2A0B6FEB"/>
    <w:rsid w:val="2A0E1B30"/>
    <w:rsid w:val="2A133E00"/>
    <w:rsid w:val="2A1469E2"/>
    <w:rsid w:val="2A1E61ED"/>
    <w:rsid w:val="2A247357"/>
    <w:rsid w:val="2A25002F"/>
    <w:rsid w:val="2A2B3105"/>
    <w:rsid w:val="2A350D61"/>
    <w:rsid w:val="2A410C98"/>
    <w:rsid w:val="2A452503"/>
    <w:rsid w:val="2A4A60D0"/>
    <w:rsid w:val="2A4B17EC"/>
    <w:rsid w:val="2A5236F9"/>
    <w:rsid w:val="2A534B56"/>
    <w:rsid w:val="2A5561C7"/>
    <w:rsid w:val="2A5A37DD"/>
    <w:rsid w:val="2A606081"/>
    <w:rsid w:val="2A6D7F28"/>
    <w:rsid w:val="2A71795A"/>
    <w:rsid w:val="2A7A5C2D"/>
    <w:rsid w:val="2A7A79DB"/>
    <w:rsid w:val="2A7C6C68"/>
    <w:rsid w:val="2A7D4B37"/>
    <w:rsid w:val="2A842608"/>
    <w:rsid w:val="2A85226A"/>
    <w:rsid w:val="2A863D65"/>
    <w:rsid w:val="2A896EF7"/>
    <w:rsid w:val="2A8E4817"/>
    <w:rsid w:val="2A9B5F16"/>
    <w:rsid w:val="2A9D0A0A"/>
    <w:rsid w:val="2A9E3952"/>
    <w:rsid w:val="2AA046B1"/>
    <w:rsid w:val="2AA62D12"/>
    <w:rsid w:val="2AB001B7"/>
    <w:rsid w:val="2AB026C5"/>
    <w:rsid w:val="2AB7381F"/>
    <w:rsid w:val="2ABD50D4"/>
    <w:rsid w:val="2AC13AF2"/>
    <w:rsid w:val="2ACB46DB"/>
    <w:rsid w:val="2ACD3FAF"/>
    <w:rsid w:val="2ACF3ADF"/>
    <w:rsid w:val="2ADA03CE"/>
    <w:rsid w:val="2ADE4DA8"/>
    <w:rsid w:val="2ADF2EC8"/>
    <w:rsid w:val="2AE05D91"/>
    <w:rsid w:val="2AE250AE"/>
    <w:rsid w:val="2AE82B97"/>
    <w:rsid w:val="2AED7A36"/>
    <w:rsid w:val="2AEE4530"/>
    <w:rsid w:val="2AF552B4"/>
    <w:rsid w:val="2AF84251"/>
    <w:rsid w:val="2AFE338E"/>
    <w:rsid w:val="2B02634F"/>
    <w:rsid w:val="2B0669DD"/>
    <w:rsid w:val="2B08148B"/>
    <w:rsid w:val="2B08304E"/>
    <w:rsid w:val="2B115075"/>
    <w:rsid w:val="2B161870"/>
    <w:rsid w:val="2B224622"/>
    <w:rsid w:val="2B225656"/>
    <w:rsid w:val="2B230073"/>
    <w:rsid w:val="2B275DB5"/>
    <w:rsid w:val="2B333328"/>
    <w:rsid w:val="2B391645"/>
    <w:rsid w:val="2B400742"/>
    <w:rsid w:val="2B4523B3"/>
    <w:rsid w:val="2B4F2C16"/>
    <w:rsid w:val="2B4F306B"/>
    <w:rsid w:val="2B523FF9"/>
    <w:rsid w:val="2B58159A"/>
    <w:rsid w:val="2B5A66D9"/>
    <w:rsid w:val="2B626DED"/>
    <w:rsid w:val="2B6915CB"/>
    <w:rsid w:val="2B6A3EF4"/>
    <w:rsid w:val="2B6D2985"/>
    <w:rsid w:val="2B7B5E48"/>
    <w:rsid w:val="2B881414"/>
    <w:rsid w:val="2B8E7BE2"/>
    <w:rsid w:val="2BA271EA"/>
    <w:rsid w:val="2BA32F62"/>
    <w:rsid w:val="2BA411B4"/>
    <w:rsid w:val="2BA63FB0"/>
    <w:rsid w:val="2BA75EC1"/>
    <w:rsid w:val="2BA80FDB"/>
    <w:rsid w:val="2BA936A8"/>
    <w:rsid w:val="2BB367D2"/>
    <w:rsid w:val="2BC30A34"/>
    <w:rsid w:val="2BC930A9"/>
    <w:rsid w:val="2BCE023C"/>
    <w:rsid w:val="2BD8769F"/>
    <w:rsid w:val="2BDD6474"/>
    <w:rsid w:val="2BE40904"/>
    <w:rsid w:val="2BF8505C"/>
    <w:rsid w:val="2BFB2D9E"/>
    <w:rsid w:val="2C0B29D0"/>
    <w:rsid w:val="2C1002C8"/>
    <w:rsid w:val="2C11436F"/>
    <w:rsid w:val="2C11611D"/>
    <w:rsid w:val="2C1D0F66"/>
    <w:rsid w:val="2C1D2796"/>
    <w:rsid w:val="2C315A5A"/>
    <w:rsid w:val="2C361EDA"/>
    <w:rsid w:val="2C414A8A"/>
    <w:rsid w:val="2C506C46"/>
    <w:rsid w:val="2C520C10"/>
    <w:rsid w:val="2C543302"/>
    <w:rsid w:val="2C5667E1"/>
    <w:rsid w:val="2C5A1F06"/>
    <w:rsid w:val="2C5F3792"/>
    <w:rsid w:val="2C646B95"/>
    <w:rsid w:val="2C6E17C2"/>
    <w:rsid w:val="2C7203D7"/>
    <w:rsid w:val="2C745B38"/>
    <w:rsid w:val="2C785A0E"/>
    <w:rsid w:val="2C7D4D24"/>
    <w:rsid w:val="2C8255CB"/>
    <w:rsid w:val="2C906ED9"/>
    <w:rsid w:val="2C9E3E55"/>
    <w:rsid w:val="2CB3174D"/>
    <w:rsid w:val="2CB8135D"/>
    <w:rsid w:val="2CBD3C20"/>
    <w:rsid w:val="2CCD41C3"/>
    <w:rsid w:val="2CCE669F"/>
    <w:rsid w:val="2CD461FD"/>
    <w:rsid w:val="2CE11CF9"/>
    <w:rsid w:val="2CF00429"/>
    <w:rsid w:val="2CF41CC7"/>
    <w:rsid w:val="2CFF58DC"/>
    <w:rsid w:val="2D064109"/>
    <w:rsid w:val="2D143717"/>
    <w:rsid w:val="2D167E90"/>
    <w:rsid w:val="2D17291F"/>
    <w:rsid w:val="2D17502B"/>
    <w:rsid w:val="2D24457C"/>
    <w:rsid w:val="2D26643B"/>
    <w:rsid w:val="2D2D1661"/>
    <w:rsid w:val="2D391DD0"/>
    <w:rsid w:val="2D583F5E"/>
    <w:rsid w:val="2D5C00F9"/>
    <w:rsid w:val="2D76092E"/>
    <w:rsid w:val="2D7921CC"/>
    <w:rsid w:val="2D7E5A35"/>
    <w:rsid w:val="2D85689D"/>
    <w:rsid w:val="2D872B3B"/>
    <w:rsid w:val="2D890CA0"/>
    <w:rsid w:val="2D906123"/>
    <w:rsid w:val="2D911EA7"/>
    <w:rsid w:val="2D9237C5"/>
    <w:rsid w:val="2D932355"/>
    <w:rsid w:val="2D93624A"/>
    <w:rsid w:val="2D960FD0"/>
    <w:rsid w:val="2D972F8E"/>
    <w:rsid w:val="2D9E56F5"/>
    <w:rsid w:val="2DA03BFD"/>
    <w:rsid w:val="2DA74F8B"/>
    <w:rsid w:val="2DB350DC"/>
    <w:rsid w:val="2DB43204"/>
    <w:rsid w:val="2DBF49E5"/>
    <w:rsid w:val="2DC32E61"/>
    <w:rsid w:val="2DC35671"/>
    <w:rsid w:val="2DC45B3D"/>
    <w:rsid w:val="2DD85145"/>
    <w:rsid w:val="2DE011B0"/>
    <w:rsid w:val="2DE34168"/>
    <w:rsid w:val="2DE50457"/>
    <w:rsid w:val="2DE85EFD"/>
    <w:rsid w:val="2DF301D1"/>
    <w:rsid w:val="2DF950BB"/>
    <w:rsid w:val="2E07292B"/>
    <w:rsid w:val="2E0E2D85"/>
    <w:rsid w:val="2E18417A"/>
    <w:rsid w:val="2E2006BF"/>
    <w:rsid w:val="2E2957DE"/>
    <w:rsid w:val="2E3558C9"/>
    <w:rsid w:val="2E471B46"/>
    <w:rsid w:val="2E48330B"/>
    <w:rsid w:val="2E4C629D"/>
    <w:rsid w:val="2E4D76FE"/>
    <w:rsid w:val="2E514EF7"/>
    <w:rsid w:val="2E533718"/>
    <w:rsid w:val="2E5920A7"/>
    <w:rsid w:val="2E62058C"/>
    <w:rsid w:val="2E625356"/>
    <w:rsid w:val="2E667F96"/>
    <w:rsid w:val="2E67471B"/>
    <w:rsid w:val="2E6F24F6"/>
    <w:rsid w:val="2E8226AB"/>
    <w:rsid w:val="2E86514D"/>
    <w:rsid w:val="2E8E15CB"/>
    <w:rsid w:val="2E951288"/>
    <w:rsid w:val="2E9750D6"/>
    <w:rsid w:val="2EAA4B45"/>
    <w:rsid w:val="2EAF4287"/>
    <w:rsid w:val="2EB37960"/>
    <w:rsid w:val="2EB56CF2"/>
    <w:rsid w:val="2EBD0526"/>
    <w:rsid w:val="2EC60895"/>
    <w:rsid w:val="2ECB2EFB"/>
    <w:rsid w:val="2ECF0A27"/>
    <w:rsid w:val="2ED0766D"/>
    <w:rsid w:val="2ED22893"/>
    <w:rsid w:val="2EDF3DD7"/>
    <w:rsid w:val="2EE4145B"/>
    <w:rsid w:val="2EE67CD4"/>
    <w:rsid w:val="2EE91B67"/>
    <w:rsid w:val="2EF7419D"/>
    <w:rsid w:val="2EF75A9F"/>
    <w:rsid w:val="2EFC6F36"/>
    <w:rsid w:val="2EFE0BDB"/>
    <w:rsid w:val="2F01498D"/>
    <w:rsid w:val="2F0157A2"/>
    <w:rsid w:val="2F064184"/>
    <w:rsid w:val="2F12120D"/>
    <w:rsid w:val="2F141663"/>
    <w:rsid w:val="2F1D0383"/>
    <w:rsid w:val="2F271A9D"/>
    <w:rsid w:val="2F2919D0"/>
    <w:rsid w:val="2F2D01DE"/>
    <w:rsid w:val="2F2F43B2"/>
    <w:rsid w:val="2F364819"/>
    <w:rsid w:val="2F397E65"/>
    <w:rsid w:val="2F3C0FFB"/>
    <w:rsid w:val="2F3E34FA"/>
    <w:rsid w:val="2F493CD7"/>
    <w:rsid w:val="2F4965F0"/>
    <w:rsid w:val="2F5F42E6"/>
    <w:rsid w:val="2F5F4AD2"/>
    <w:rsid w:val="2F80344C"/>
    <w:rsid w:val="2F832C79"/>
    <w:rsid w:val="2F8D29E4"/>
    <w:rsid w:val="2F904855"/>
    <w:rsid w:val="2F924E64"/>
    <w:rsid w:val="2F961084"/>
    <w:rsid w:val="2F9B0B20"/>
    <w:rsid w:val="2F9B5D64"/>
    <w:rsid w:val="2FA3440D"/>
    <w:rsid w:val="2FAD54A6"/>
    <w:rsid w:val="2FB43990"/>
    <w:rsid w:val="2FBE2BF3"/>
    <w:rsid w:val="2FC51ABF"/>
    <w:rsid w:val="2FD14541"/>
    <w:rsid w:val="2FD923D7"/>
    <w:rsid w:val="2FE80560"/>
    <w:rsid w:val="2FEE5D3D"/>
    <w:rsid w:val="2FEF2D58"/>
    <w:rsid w:val="2FF16C37"/>
    <w:rsid w:val="2FF678CB"/>
    <w:rsid w:val="30004E27"/>
    <w:rsid w:val="30071129"/>
    <w:rsid w:val="30087837"/>
    <w:rsid w:val="300930AE"/>
    <w:rsid w:val="300F6E18"/>
    <w:rsid w:val="301F34FF"/>
    <w:rsid w:val="302100C6"/>
    <w:rsid w:val="30221DFE"/>
    <w:rsid w:val="3029612C"/>
    <w:rsid w:val="30314FE0"/>
    <w:rsid w:val="304055CA"/>
    <w:rsid w:val="304D7616"/>
    <w:rsid w:val="30534F57"/>
    <w:rsid w:val="30542A7D"/>
    <w:rsid w:val="305434E6"/>
    <w:rsid w:val="30580BC9"/>
    <w:rsid w:val="305C54F7"/>
    <w:rsid w:val="305F3D12"/>
    <w:rsid w:val="30604EDB"/>
    <w:rsid w:val="306C1E7E"/>
    <w:rsid w:val="306E43FF"/>
    <w:rsid w:val="307768DE"/>
    <w:rsid w:val="30801FAB"/>
    <w:rsid w:val="308A0EE3"/>
    <w:rsid w:val="308E2E6E"/>
    <w:rsid w:val="308E41E1"/>
    <w:rsid w:val="308E655F"/>
    <w:rsid w:val="30942CC8"/>
    <w:rsid w:val="30980BBB"/>
    <w:rsid w:val="309A2B85"/>
    <w:rsid w:val="309A5723"/>
    <w:rsid w:val="30A42A42"/>
    <w:rsid w:val="30A52FFD"/>
    <w:rsid w:val="30A66957"/>
    <w:rsid w:val="30B85C0B"/>
    <w:rsid w:val="30B91F4D"/>
    <w:rsid w:val="30BE33DD"/>
    <w:rsid w:val="30CF184F"/>
    <w:rsid w:val="30D7744B"/>
    <w:rsid w:val="30DB4046"/>
    <w:rsid w:val="30DF0060"/>
    <w:rsid w:val="30DF1CBE"/>
    <w:rsid w:val="30EF1BEA"/>
    <w:rsid w:val="30F2476F"/>
    <w:rsid w:val="30F73E4E"/>
    <w:rsid w:val="30F800EF"/>
    <w:rsid w:val="30F93D50"/>
    <w:rsid w:val="30FB0B38"/>
    <w:rsid w:val="30FC337F"/>
    <w:rsid w:val="30FE3EB0"/>
    <w:rsid w:val="31010439"/>
    <w:rsid w:val="310A005B"/>
    <w:rsid w:val="310A276C"/>
    <w:rsid w:val="310A2DDF"/>
    <w:rsid w:val="310D77FB"/>
    <w:rsid w:val="31122DED"/>
    <w:rsid w:val="311963FF"/>
    <w:rsid w:val="311E2ED7"/>
    <w:rsid w:val="31204624"/>
    <w:rsid w:val="312132A7"/>
    <w:rsid w:val="31253BDD"/>
    <w:rsid w:val="3126266B"/>
    <w:rsid w:val="312D3BE7"/>
    <w:rsid w:val="31374878"/>
    <w:rsid w:val="313A6116"/>
    <w:rsid w:val="314309AE"/>
    <w:rsid w:val="31444F1F"/>
    <w:rsid w:val="3149165B"/>
    <w:rsid w:val="315C449C"/>
    <w:rsid w:val="316D1C81"/>
    <w:rsid w:val="317D227C"/>
    <w:rsid w:val="3187088C"/>
    <w:rsid w:val="31903F88"/>
    <w:rsid w:val="31920D91"/>
    <w:rsid w:val="319247D6"/>
    <w:rsid w:val="31943A79"/>
    <w:rsid w:val="319553BD"/>
    <w:rsid w:val="3196159F"/>
    <w:rsid w:val="31983647"/>
    <w:rsid w:val="31987F4F"/>
    <w:rsid w:val="31AA504A"/>
    <w:rsid w:val="31AB08CF"/>
    <w:rsid w:val="31B82709"/>
    <w:rsid w:val="31BF1021"/>
    <w:rsid w:val="31C402F3"/>
    <w:rsid w:val="31CB2C98"/>
    <w:rsid w:val="31D40319"/>
    <w:rsid w:val="31DA3AEF"/>
    <w:rsid w:val="31DC6E32"/>
    <w:rsid w:val="31DF79A9"/>
    <w:rsid w:val="31E0281A"/>
    <w:rsid w:val="31E9143D"/>
    <w:rsid w:val="31EE28F9"/>
    <w:rsid w:val="31F2079F"/>
    <w:rsid w:val="32033791"/>
    <w:rsid w:val="320542C0"/>
    <w:rsid w:val="3207249C"/>
    <w:rsid w:val="320B322B"/>
    <w:rsid w:val="320E3F19"/>
    <w:rsid w:val="322127E2"/>
    <w:rsid w:val="32266802"/>
    <w:rsid w:val="32342B66"/>
    <w:rsid w:val="32400B34"/>
    <w:rsid w:val="32421947"/>
    <w:rsid w:val="324F33F2"/>
    <w:rsid w:val="3253123E"/>
    <w:rsid w:val="325A081E"/>
    <w:rsid w:val="32610DE0"/>
    <w:rsid w:val="3267491C"/>
    <w:rsid w:val="32761300"/>
    <w:rsid w:val="32765507"/>
    <w:rsid w:val="32785148"/>
    <w:rsid w:val="327C4DBB"/>
    <w:rsid w:val="328301F2"/>
    <w:rsid w:val="328535BD"/>
    <w:rsid w:val="32885924"/>
    <w:rsid w:val="32891103"/>
    <w:rsid w:val="32892343"/>
    <w:rsid w:val="32963967"/>
    <w:rsid w:val="32981347"/>
    <w:rsid w:val="329E6876"/>
    <w:rsid w:val="32A10934"/>
    <w:rsid w:val="32AF43E2"/>
    <w:rsid w:val="32B67A1F"/>
    <w:rsid w:val="32B803DE"/>
    <w:rsid w:val="32BA21E7"/>
    <w:rsid w:val="32C215F6"/>
    <w:rsid w:val="32D32A58"/>
    <w:rsid w:val="32D46F56"/>
    <w:rsid w:val="32D92DF9"/>
    <w:rsid w:val="32E53E60"/>
    <w:rsid w:val="32E96343"/>
    <w:rsid w:val="32FA530B"/>
    <w:rsid w:val="32FD7904"/>
    <w:rsid w:val="33155FE9"/>
    <w:rsid w:val="331667A4"/>
    <w:rsid w:val="33212117"/>
    <w:rsid w:val="3329528D"/>
    <w:rsid w:val="332B3F69"/>
    <w:rsid w:val="333B1446"/>
    <w:rsid w:val="333B59E2"/>
    <w:rsid w:val="333E75E5"/>
    <w:rsid w:val="334074D5"/>
    <w:rsid w:val="334119DE"/>
    <w:rsid w:val="3344327C"/>
    <w:rsid w:val="334C0213"/>
    <w:rsid w:val="334C147C"/>
    <w:rsid w:val="33527747"/>
    <w:rsid w:val="33542A8B"/>
    <w:rsid w:val="335D7E9A"/>
    <w:rsid w:val="33661445"/>
    <w:rsid w:val="338272CA"/>
    <w:rsid w:val="338525E8"/>
    <w:rsid w:val="33890C8F"/>
    <w:rsid w:val="338E2D0F"/>
    <w:rsid w:val="33922D47"/>
    <w:rsid w:val="339E7B3C"/>
    <w:rsid w:val="339F26B0"/>
    <w:rsid w:val="33A06705"/>
    <w:rsid w:val="33A66585"/>
    <w:rsid w:val="33A87AFE"/>
    <w:rsid w:val="33A90E1D"/>
    <w:rsid w:val="33B25FFE"/>
    <w:rsid w:val="33C63C91"/>
    <w:rsid w:val="33C9328E"/>
    <w:rsid w:val="33D44600"/>
    <w:rsid w:val="33D77C4D"/>
    <w:rsid w:val="33D83D04"/>
    <w:rsid w:val="33D934D4"/>
    <w:rsid w:val="33E10ACB"/>
    <w:rsid w:val="33EA44E3"/>
    <w:rsid w:val="33ED121E"/>
    <w:rsid w:val="33EE2E57"/>
    <w:rsid w:val="33EE719E"/>
    <w:rsid w:val="33F22CD8"/>
    <w:rsid w:val="33FB0FA1"/>
    <w:rsid w:val="33FE2F6A"/>
    <w:rsid w:val="342509B8"/>
    <w:rsid w:val="342A06C4"/>
    <w:rsid w:val="34307FA5"/>
    <w:rsid w:val="34367069"/>
    <w:rsid w:val="343919A7"/>
    <w:rsid w:val="343A0036"/>
    <w:rsid w:val="343D03F7"/>
    <w:rsid w:val="343F7190"/>
    <w:rsid w:val="34474EA2"/>
    <w:rsid w:val="344F44B4"/>
    <w:rsid w:val="34504E4D"/>
    <w:rsid w:val="345179FF"/>
    <w:rsid w:val="345614B9"/>
    <w:rsid w:val="34574FF0"/>
    <w:rsid w:val="345B60E1"/>
    <w:rsid w:val="34717360"/>
    <w:rsid w:val="34733E2D"/>
    <w:rsid w:val="3475280D"/>
    <w:rsid w:val="34775202"/>
    <w:rsid w:val="347D07F4"/>
    <w:rsid w:val="34824EE6"/>
    <w:rsid w:val="348922E4"/>
    <w:rsid w:val="348F22D5"/>
    <w:rsid w:val="349F0B4A"/>
    <w:rsid w:val="34B45226"/>
    <w:rsid w:val="34B55802"/>
    <w:rsid w:val="34B6377F"/>
    <w:rsid w:val="34B858F7"/>
    <w:rsid w:val="34C03117"/>
    <w:rsid w:val="34CE44CF"/>
    <w:rsid w:val="34D17527"/>
    <w:rsid w:val="34D91ECE"/>
    <w:rsid w:val="34DE0213"/>
    <w:rsid w:val="34F605A6"/>
    <w:rsid w:val="34F95C4F"/>
    <w:rsid w:val="3501777E"/>
    <w:rsid w:val="350A188D"/>
    <w:rsid w:val="350B5DF0"/>
    <w:rsid w:val="350E7C8D"/>
    <w:rsid w:val="35123632"/>
    <w:rsid w:val="35134CB4"/>
    <w:rsid w:val="35154ED0"/>
    <w:rsid w:val="351B3FB8"/>
    <w:rsid w:val="351D595E"/>
    <w:rsid w:val="3541551D"/>
    <w:rsid w:val="354457B6"/>
    <w:rsid w:val="35571045"/>
    <w:rsid w:val="35576DCA"/>
    <w:rsid w:val="35581EC0"/>
    <w:rsid w:val="355D18A7"/>
    <w:rsid w:val="355F614C"/>
    <w:rsid w:val="35645468"/>
    <w:rsid w:val="35673502"/>
    <w:rsid w:val="356D7373"/>
    <w:rsid w:val="356E5B3C"/>
    <w:rsid w:val="35771EB0"/>
    <w:rsid w:val="357C6CFE"/>
    <w:rsid w:val="35833620"/>
    <w:rsid w:val="3593128D"/>
    <w:rsid w:val="35942299"/>
    <w:rsid w:val="35967197"/>
    <w:rsid w:val="35972697"/>
    <w:rsid w:val="359A4A4A"/>
    <w:rsid w:val="35A00A33"/>
    <w:rsid w:val="35A26888"/>
    <w:rsid w:val="35A87AF3"/>
    <w:rsid w:val="35AA089D"/>
    <w:rsid w:val="35AD6EB7"/>
    <w:rsid w:val="35AF6AB4"/>
    <w:rsid w:val="35B37D0F"/>
    <w:rsid w:val="35C26AC0"/>
    <w:rsid w:val="35C716A6"/>
    <w:rsid w:val="35C96809"/>
    <w:rsid w:val="35D12C82"/>
    <w:rsid w:val="35D40FDF"/>
    <w:rsid w:val="35DA0086"/>
    <w:rsid w:val="35DE0B48"/>
    <w:rsid w:val="35E03E37"/>
    <w:rsid w:val="35E1689E"/>
    <w:rsid w:val="35E56D3E"/>
    <w:rsid w:val="35EC04DB"/>
    <w:rsid w:val="35ED19A9"/>
    <w:rsid w:val="35F638E3"/>
    <w:rsid w:val="35FC0DE6"/>
    <w:rsid w:val="35FC399A"/>
    <w:rsid w:val="36054F45"/>
    <w:rsid w:val="36074A7F"/>
    <w:rsid w:val="360D3DFA"/>
    <w:rsid w:val="361335D2"/>
    <w:rsid w:val="361438A4"/>
    <w:rsid w:val="36174C78"/>
    <w:rsid w:val="361C228F"/>
    <w:rsid w:val="361E615B"/>
    <w:rsid w:val="36222DEA"/>
    <w:rsid w:val="362400C9"/>
    <w:rsid w:val="362536D1"/>
    <w:rsid w:val="362A4635"/>
    <w:rsid w:val="36305255"/>
    <w:rsid w:val="3632560E"/>
    <w:rsid w:val="36383AE9"/>
    <w:rsid w:val="363D6078"/>
    <w:rsid w:val="36466B88"/>
    <w:rsid w:val="364954DD"/>
    <w:rsid w:val="364D52AD"/>
    <w:rsid w:val="365437D6"/>
    <w:rsid w:val="365722C5"/>
    <w:rsid w:val="365A6BCC"/>
    <w:rsid w:val="36665A3F"/>
    <w:rsid w:val="366B28CE"/>
    <w:rsid w:val="366E1622"/>
    <w:rsid w:val="3671332B"/>
    <w:rsid w:val="36731399"/>
    <w:rsid w:val="367475D8"/>
    <w:rsid w:val="36785717"/>
    <w:rsid w:val="367956E7"/>
    <w:rsid w:val="368A145E"/>
    <w:rsid w:val="368C2F70"/>
    <w:rsid w:val="368F5577"/>
    <w:rsid w:val="36923549"/>
    <w:rsid w:val="36942F06"/>
    <w:rsid w:val="36987B67"/>
    <w:rsid w:val="369D6F2B"/>
    <w:rsid w:val="36A11190"/>
    <w:rsid w:val="36A97EF0"/>
    <w:rsid w:val="36AB485E"/>
    <w:rsid w:val="36B44A6A"/>
    <w:rsid w:val="36B75FBF"/>
    <w:rsid w:val="36B95CDD"/>
    <w:rsid w:val="36BD3D26"/>
    <w:rsid w:val="36BD5042"/>
    <w:rsid w:val="36BD5E31"/>
    <w:rsid w:val="36D517BD"/>
    <w:rsid w:val="36D81EC7"/>
    <w:rsid w:val="36DB3EF8"/>
    <w:rsid w:val="36E65063"/>
    <w:rsid w:val="36F51D77"/>
    <w:rsid w:val="36FA2322"/>
    <w:rsid w:val="36FB4891"/>
    <w:rsid w:val="37077F1C"/>
    <w:rsid w:val="370E7ADF"/>
    <w:rsid w:val="371553E0"/>
    <w:rsid w:val="37170919"/>
    <w:rsid w:val="373158C6"/>
    <w:rsid w:val="37322E86"/>
    <w:rsid w:val="37392ACD"/>
    <w:rsid w:val="37420F23"/>
    <w:rsid w:val="37500442"/>
    <w:rsid w:val="37524E46"/>
    <w:rsid w:val="375325B8"/>
    <w:rsid w:val="37542097"/>
    <w:rsid w:val="375F24E3"/>
    <w:rsid w:val="37704D00"/>
    <w:rsid w:val="37720519"/>
    <w:rsid w:val="37765B1B"/>
    <w:rsid w:val="377E4FAF"/>
    <w:rsid w:val="37840664"/>
    <w:rsid w:val="37924D01"/>
    <w:rsid w:val="37952280"/>
    <w:rsid w:val="379A1A9D"/>
    <w:rsid w:val="379C5435"/>
    <w:rsid w:val="37A01750"/>
    <w:rsid w:val="37A42A65"/>
    <w:rsid w:val="37A520A4"/>
    <w:rsid w:val="37AC322D"/>
    <w:rsid w:val="37B92F56"/>
    <w:rsid w:val="37CA5832"/>
    <w:rsid w:val="37CB4382"/>
    <w:rsid w:val="37D0718F"/>
    <w:rsid w:val="37DC7209"/>
    <w:rsid w:val="37E520C8"/>
    <w:rsid w:val="37EE4E6A"/>
    <w:rsid w:val="37EE502E"/>
    <w:rsid w:val="37F042A8"/>
    <w:rsid w:val="37F260C0"/>
    <w:rsid w:val="37F94C4E"/>
    <w:rsid w:val="37FB7DB3"/>
    <w:rsid w:val="37FE1C4C"/>
    <w:rsid w:val="38006395"/>
    <w:rsid w:val="38033706"/>
    <w:rsid w:val="38042066"/>
    <w:rsid w:val="38042FDA"/>
    <w:rsid w:val="38060B00"/>
    <w:rsid w:val="38084878"/>
    <w:rsid w:val="380C2D0A"/>
    <w:rsid w:val="380C47FF"/>
    <w:rsid w:val="38105EB5"/>
    <w:rsid w:val="381D02F0"/>
    <w:rsid w:val="38284F1B"/>
    <w:rsid w:val="382916B4"/>
    <w:rsid w:val="382B1EE0"/>
    <w:rsid w:val="38307830"/>
    <w:rsid w:val="383B5A16"/>
    <w:rsid w:val="38493762"/>
    <w:rsid w:val="384B29B7"/>
    <w:rsid w:val="385A5C94"/>
    <w:rsid w:val="385B709E"/>
    <w:rsid w:val="386423D7"/>
    <w:rsid w:val="3864297B"/>
    <w:rsid w:val="38686D8A"/>
    <w:rsid w:val="38794512"/>
    <w:rsid w:val="388C7B14"/>
    <w:rsid w:val="389566AD"/>
    <w:rsid w:val="389657C8"/>
    <w:rsid w:val="38966328"/>
    <w:rsid w:val="389D1465"/>
    <w:rsid w:val="38A34493"/>
    <w:rsid w:val="38A512CD"/>
    <w:rsid w:val="38A74091"/>
    <w:rsid w:val="38AF1E98"/>
    <w:rsid w:val="38BD361C"/>
    <w:rsid w:val="38BF307A"/>
    <w:rsid w:val="38C2711D"/>
    <w:rsid w:val="38C60702"/>
    <w:rsid w:val="38CB6A63"/>
    <w:rsid w:val="38D50C4B"/>
    <w:rsid w:val="38E22D4E"/>
    <w:rsid w:val="38E46214"/>
    <w:rsid w:val="38EA5078"/>
    <w:rsid w:val="38EC5F48"/>
    <w:rsid w:val="38ED1124"/>
    <w:rsid w:val="38F12CD3"/>
    <w:rsid w:val="38F20621"/>
    <w:rsid w:val="38F94775"/>
    <w:rsid w:val="38FB618B"/>
    <w:rsid w:val="39070FD4"/>
    <w:rsid w:val="390E2B03"/>
    <w:rsid w:val="39104FDC"/>
    <w:rsid w:val="391159AF"/>
    <w:rsid w:val="3914724D"/>
    <w:rsid w:val="39157171"/>
    <w:rsid w:val="392971ED"/>
    <w:rsid w:val="392A081F"/>
    <w:rsid w:val="392B222A"/>
    <w:rsid w:val="393C40AE"/>
    <w:rsid w:val="39462149"/>
    <w:rsid w:val="3950612E"/>
    <w:rsid w:val="39555F8E"/>
    <w:rsid w:val="395E6BF5"/>
    <w:rsid w:val="39610CCF"/>
    <w:rsid w:val="396226AE"/>
    <w:rsid w:val="396516B4"/>
    <w:rsid w:val="39661562"/>
    <w:rsid w:val="396653D5"/>
    <w:rsid w:val="396D1717"/>
    <w:rsid w:val="396D3120"/>
    <w:rsid w:val="39757D6D"/>
    <w:rsid w:val="39783C80"/>
    <w:rsid w:val="398453EA"/>
    <w:rsid w:val="398845B5"/>
    <w:rsid w:val="39902D77"/>
    <w:rsid w:val="399565E0"/>
    <w:rsid w:val="39A17917"/>
    <w:rsid w:val="39A64349"/>
    <w:rsid w:val="39A90D7C"/>
    <w:rsid w:val="39B20F40"/>
    <w:rsid w:val="39B42B37"/>
    <w:rsid w:val="39B61F49"/>
    <w:rsid w:val="39C649EB"/>
    <w:rsid w:val="39D62E08"/>
    <w:rsid w:val="39E30AED"/>
    <w:rsid w:val="39E778FF"/>
    <w:rsid w:val="39F257E0"/>
    <w:rsid w:val="39F7538F"/>
    <w:rsid w:val="39F94DC1"/>
    <w:rsid w:val="39FD5585"/>
    <w:rsid w:val="39FF48E8"/>
    <w:rsid w:val="3A044B4A"/>
    <w:rsid w:val="3A18694C"/>
    <w:rsid w:val="3A1C5C1A"/>
    <w:rsid w:val="3A1C764E"/>
    <w:rsid w:val="3A241712"/>
    <w:rsid w:val="3A26468D"/>
    <w:rsid w:val="3A34624D"/>
    <w:rsid w:val="3A3B7FF7"/>
    <w:rsid w:val="3A442255"/>
    <w:rsid w:val="3A44494F"/>
    <w:rsid w:val="3A4477AA"/>
    <w:rsid w:val="3A4C20A6"/>
    <w:rsid w:val="3A5169AB"/>
    <w:rsid w:val="3A59760D"/>
    <w:rsid w:val="3A5E69D2"/>
    <w:rsid w:val="3A601EFA"/>
    <w:rsid w:val="3A61330D"/>
    <w:rsid w:val="3A666016"/>
    <w:rsid w:val="3A666D2F"/>
    <w:rsid w:val="3A7550F4"/>
    <w:rsid w:val="3A78116B"/>
    <w:rsid w:val="3A7C6DD9"/>
    <w:rsid w:val="3A7D008E"/>
    <w:rsid w:val="3A983F9A"/>
    <w:rsid w:val="3AA218E1"/>
    <w:rsid w:val="3AB05CD7"/>
    <w:rsid w:val="3AB50B0C"/>
    <w:rsid w:val="3ABD5DEE"/>
    <w:rsid w:val="3ABE2EAE"/>
    <w:rsid w:val="3AC139BC"/>
    <w:rsid w:val="3AC243BE"/>
    <w:rsid w:val="3AC54CA3"/>
    <w:rsid w:val="3AC7313D"/>
    <w:rsid w:val="3ACA050B"/>
    <w:rsid w:val="3ACD1922"/>
    <w:rsid w:val="3AD7041F"/>
    <w:rsid w:val="3AD8329D"/>
    <w:rsid w:val="3ADA04E1"/>
    <w:rsid w:val="3ADA74C5"/>
    <w:rsid w:val="3ADB3888"/>
    <w:rsid w:val="3ADD1BDF"/>
    <w:rsid w:val="3AE710BD"/>
    <w:rsid w:val="3AE80991"/>
    <w:rsid w:val="3AE92133"/>
    <w:rsid w:val="3AEC7AA4"/>
    <w:rsid w:val="3AEE5216"/>
    <w:rsid w:val="3AFB06C4"/>
    <w:rsid w:val="3B095ED6"/>
    <w:rsid w:val="3B163750"/>
    <w:rsid w:val="3B182771"/>
    <w:rsid w:val="3B1C6EC9"/>
    <w:rsid w:val="3B3616FD"/>
    <w:rsid w:val="3B3763D1"/>
    <w:rsid w:val="3B4B566F"/>
    <w:rsid w:val="3B5F2697"/>
    <w:rsid w:val="3B610C48"/>
    <w:rsid w:val="3B6C59E5"/>
    <w:rsid w:val="3B7566C9"/>
    <w:rsid w:val="3B83282C"/>
    <w:rsid w:val="3B857008"/>
    <w:rsid w:val="3B9052B1"/>
    <w:rsid w:val="3B9A270B"/>
    <w:rsid w:val="3B9A612F"/>
    <w:rsid w:val="3B9B44C3"/>
    <w:rsid w:val="3BA477D3"/>
    <w:rsid w:val="3BA50630"/>
    <w:rsid w:val="3BB4691C"/>
    <w:rsid w:val="3BB72A36"/>
    <w:rsid w:val="3BBC11E5"/>
    <w:rsid w:val="3BBD3BCC"/>
    <w:rsid w:val="3BC63897"/>
    <w:rsid w:val="3BC85517"/>
    <w:rsid w:val="3BCB453B"/>
    <w:rsid w:val="3BD272DB"/>
    <w:rsid w:val="3BE51B6A"/>
    <w:rsid w:val="3BE7788B"/>
    <w:rsid w:val="3BF23281"/>
    <w:rsid w:val="3BF70EF8"/>
    <w:rsid w:val="3BFE1CEB"/>
    <w:rsid w:val="3BFF5F92"/>
    <w:rsid w:val="3C090BBF"/>
    <w:rsid w:val="3C0E0934"/>
    <w:rsid w:val="3C0E1FC9"/>
    <w:rsid w:val="3C131A3E"/>
    <w:rsid w:val="3C153D7C"/>
    <w:rsid w:val="3C1C6B44"/>
    <w:rsid w:val="3C202388"/>
    <w:rsid w:val="3C215F09"/>
    <w:rsid w:val="3C313BE7"/>
    <w:rsid w:val="3C325BB0"/>
    <w:rsid w:val="3C361C51"/>
    <w:rsid w:val="3C3A297C"/>
    <w:rsid w:val="3C3C7EAA"/>
    <w:rsid w:val="3C424E39"/>
    <w:rsid w:val="3C4433A8"/>
    <w:rsid w:val="3C4B2F39"/>
    <w:rsid w:val="3C5D1A51"/>
    <w:rsid w:val="3C5F4C83"/>
    <w:rsid w:val="3C7249B6"/>
    <w:rsid w:val="3C865174"/>
    <w:rsid w:val="3C896602"/>
    <w:rsid w:val="3C9853CC"/>
    <w:rsid w:val="3C9A01E5"/>
    <w:rsid w:val="3CA52E13"/>
    <w:rsid w:val="3CA60B04"/>
    <w:rsid w:val="3CAE5A6F"/>
    <w:rsid w:val="3CC2439B"/>
    <w:rsid w:val="3CCE18DB"/>
    <w:rsid w:val="3CD218F9"/>
    <w:rsid w:val="3CDA245A"/>
    <w:rsid w:val="3CDA7DA7"/>
    <w:rsid w:val="3CE138EA"/>
    <w:rsid w:val="3CE5041B"/>
    <w:rsid w:val="3CE50FBD"/>
    <w:rsid w:val="3CED4ADC"/>
    <w:rsid w:val="3CEE0A37"/>
    <w:rsid w:val="3CF655E7"/>
    <w:rsid w:val="3CF946FE"/>
    <w:rsid w:val="3CFC1BFC"/>
    <w:rsid w:val="3CFE624A"/>
    <w:rsid w:val="3D110D65"/>
    <w:rsid w:val="3D172303"/>
    <w:rsid w:val="3D1E1E2B"/>
    <w:rsid w:val="3D2462CF"/>
    <w:rsid w:val="3D2D4C12"/>
    <w:rsid w:val="3D2F5397"/>
    <w:rsid w:val="3D3644CA"/>
    <w:rsid w:val="3D3D4392"/>
    <w:rsid w:val="3D42082D"/>
    <w:rsid w:val="3D5255F3"/>
    <w:rsid w:val="3D555E78"/>
    <w:rsid w:val="3D5A41AE"/>
    <w:rsid w:val="3D5A5A1C"/>
    <w:rsid w:val="3D5F7A8C"/>
    <w:rsid w:val="3D603FEA"/>
    <w:rsid w:val="3D632551"/>
    <w:rsid w:val="3D6A10A8"/>
    <w:rsid w:val="3D6E0D11"/>
    <w:rsid w:val="3D7529B0"/>
    <w:rsid w:val="3D772491"/>
    <w:rsid w:val="3D7E738B"/>
    <w:rsid w:val="3D980617"/>
    <w:rsid w:val="3D9E4621"/>
    <w:rsid w:val="3DA13720"/>
    <w:rsid w:val="3DBC05DF"/>
    <w:rsid w:val="3DBD77E2"/>
    <w:rsid w:val="3DC22EF4"/>
    <w:rsid w:val="3DCE20C0"/>
    <w:rsid w:val="3DD15562"/>
    <w:rsid w:val="3DD165B9"/>
    <w:rsid w:val="3DE03BA2"/>
    <w:rsid w:val="3DE22043"/>
    <w:rsid w:val="3DE235C1"/>
    <w:rsid w:val="3DE24C72"/>
    <w:rsid w:val="3DE25D39"/>
    <w:rsid w:val="3DE73182"/>
    <w:rsid w:val="3DF232E1"/>
    <w:rsid w:val="3DF5589F"/>
    <w:rsid w:val="3DFF005A"/>
    <w:rsid w:val="3E014244"/>
    <w:rsid w:val="3E056E8B"/>
    <w:rsid w:val="3E063608"/>
    <w:rsid w:val="3E09759C"/>
    <w:rsid w:val="3E0B50C2"/>
    <w:rsid w:val="3E0C4997"/>
    <w:rsid w:val="3E0E1A8B"/>
    <w:rsid w:val="3E126451"/>
    <w:rsid w:val="3E135F8A"/>
    <w:rsid w:val="3E1C107E"/>
    <w:rsid w:val="3E2C44B1"/>
    <w:rsid w:val="3E2C6DE7"/>
    <w:rsid w:val="3E375EB7"/>
    <w:rsid w:val="3E4573F0"/>
    <w:rsid w:val="3E48075A"/>
    <w:rsid w:val="3E483C21"/>
    <w:rsid w:val="3E4B54BF"/>
    <w:rsid w:val="3E5B5C82"/>
    <w:rsid w:val="3E6B790F"/>
    <w:rsid w:val="3E6F1DD5"/>
    <w:rsid w:val="3E742C68"/>
    <w:rsid w:val="3E892F18"/>
    <w:rsid w:val="3E8E21C5"/>
    <w:rsid w:val="3E9C3F6D"/>
    <w:rsid w:val="3EA41B2F"/>
    <w:rsid w:val="3EA5325E"/>
    <w:rsid w:val="3EA60B88"/>
    <w:rsid w:val="3EA976A4"/>
    <w:rsid w:val="3EAD3381"/>
    <w:rsid w:val="3EAF5A30"/>
    <w:rsid w:val="3EB47508"/>
    <w:rsid w:val="3EBD0350"/>
    <w:rsid w:val="3EC216DA"/>
    <w:rsid w:val="3ECA13E6"/>
    <w:rsid w:val="3ECA1E2D"/>
    <w:rsid w:val="3ED65C74"/>
    <w:rsid w:val="3EF43575"/>
    <w:rsid w:val="3EF7319B"/>
    <w:rsid w:val="3EFA44B1"/>
    <w:rsid w:val="3EFB5137"/>
    <w:rsid w:val="3EFD0BDA"/>
    <w:rsid w:val="3F11503B"/>
    <w:rsid w:val="3F221B50"/>
    <w:rsid w:val="3F223B7A"/>
    <w:rsid w:val="3F2504D1"/>
    <w:rsid w:val="3F3847B8"/>
    <w:rsid w:val="3F384C3B"/>
    <w:rsid w:val="3F431E85"/>
    <w:rsid w:val="3F500C15"/>
    <w:rsid w:val="3F525F4F"/>
    <w:rsid w:val="3F572FAD"/>
    <w:rsid w:val="3F59562F"/>
    <w:rsid w:val="3F65131B"/>
    <w:rsid w:val="3F660E74"/>
    <w:rsid w:val="3F6675BC"/>
    <w:rsid w:val="3F6C12E5"/>
    <w:rsid w:val="3F6E5909"/>
    <w:rsid w:val="3F724C94"/>
    <w:rsid w:val="3F744010"/>
    <w:rsid w:val="3F7971E6"/>
    <w:rsid w:val="3F830017"/>
    <w:rsid w:val="3F853A01"/>
    <w:rsid w:val="3F873DEE"/>
    <w:rsid w:val="3F8C2233"/>
    <w:rsid w:val="3F9335C1"/>
    <w:rsid w:val="3F9C5EB6"/>
    <w:rsid w:val="3FA806EF"/>
    <w:rsid w:val="3FB25834"/>
    <w:rsid w:val="3FB33E48"/>
    <w:rsid w:val="3FB41EE5"/>
    <w:rsid w:val="3FB53538"/>
    <w:rsid w:val="3FC30613"/>
    <w:rsid w:val="3FC7326B"/>
    <w:rsid w:val="3FC94921"/>
    <w:rsid w:val="3FD20CE1"/>
    <w:rsid w:val="3FD65C04"/>
    <w:rsid w:val="3FDB61E3"/>
    <w:rsid w:val="3FDC3EFF"/>
    <w:rsid w:val="3FDC770A"/>
    <w:rsid w:val="3FE07E89"/>
    <w:rsid w:val="3FE67031"/>
    <w:rsid w:val="3FE97DD1"/>
    <w:rsid w:val="3FF016A6"/>
    <w:rsid w:val="3FF134E9"/>
    <w:rsid w:val="3FF656F1"/>
    <w:rsid w:val="3FFB29EF"/>
    <w:rsid w:val="3FFF71F2"/>
    <w:rsid w:val="401144E6"/>
    <w:rsid w:val="401B0573"/>
    <w:rsid w:val="40225751"/>
    <w:rsid w:val="4029552E"/>
    <w:rsid w:val="40512B35"/>
    <w:rsid w:val="40570937"/>
    <w:rsid w:val="40580C20"/>
    <w:rsid w:val="406867FC"/>
    <w:rsid w:val="406B1E48"/>
    <w:rsid w:val="406C56BA"/>
    <w:rsid w:val="4071440F"/>
    <w:rsid w:val="40741539"/>
    <w:rsid w:val="40780473"/>
    <w:rsid w:val="407A6407"/>
    <w:rsid w:val="407D3D94"/>
    <w:rsid w:val="407D52AD"/>
    <w:rsid w:val="4081341A"/>
    <w:rsid w:val="4093314D"/>
    <w:rsid w:val="409D1DE9"/>
    <w:rsid w:val="40A030D6"/>
    <w:rsid w:val="40A36412"/>
    <w:rsid w:val="40A60475"/>
    <w:rsid w:val="40A92971"/>
    <w:rsid w:val="40AA0BC3"/>
    <w:rsid w:val="40AC3F07"/>
    <w:rsid w:val="40AD7F04"/>
    <w:rsid w:val="40B36C5D"/>
    <w:rsid w:val="40BE641C"/>
    <w:rsid w:val="40D764A5"/>
    <w:rsid w:val="40E26B19"/>
    <w:rsid w:val="40E637FB"/>
    <w:rsid w:val="40E65973"/>
    <w:rsid w:val="40EF2A79"/>
    <w:rsid w:val="40F74542"/>
    <w:rsid w:val="41114F25"/>
    <w:rsid w:val="41156378"/>
    <w:rsid w:val="41173D7E"/>
    <w:rsid w:val="41186492"/>
    <w:rsid w:val="41214B61"/>
    <w:rsid w:val="412169AB"/>
    <w:rsid w:val="412A7AFA"/>
    <w:rsid w:val="4132171D"/>
    <w:rsid w:val="4144315C"/>
    <w:rsid w:val="414842A1"/>
    <w:rsid w:val="414A7CB0"/>
    <w:rsid w:val="414D59F2"/>
    <w:rsid w:val="414F2E44"/>
    <w:rsid w:val="41505924"/>
    <w:rsid w:val="415A0DB4"/>
    <w:rsid w:val="415D6759"/>
    <w:rsid w:val="415E0ACF"/>
    <w:rsid w:val="41602D0E"/>
    <w:rsid w:val="416A4DE7"/>
    <w:rsid w:val="4172560F"/>
    <w:rsid w:val="417C7493"/>
    <w:rsid w:val="418A27A2"/>
    <w:rsid w:val="418A4E8B"/>
    <w:rsid w:val="418A72F2"/>
    <w:rsid w:val="418E024C"/>
    <w:rsid w:val="418E6D60"/>
    <w:rsid w:val="419158DF"/>
    <w:rsid w:val="41931F28"/>
    <w:rsid w:val="41945E2E"/>
    <w:rsid w:val="419A11FF"/>
    <w:rsid w:val="41AE6491"/>
    <w:rsid w:val="41AF25D2"/>
    <w:rsid w:val="41B7007C"/>
    <w:rsid w:val="41BA51F5"/>
    <w:rsid w:val="41D41647"/>
    <w:rsid w:val="41D67795"/>
    <w:rsid w:val="41DB2FFE"/>
    <w:rsid w:val="41ED30E3"/>
    <w:rsid w:val="41EE4ADF"/>
    <w:rsid w:val="41FA1643"/>
    <w:rsid w:val="420624FE"/>
    <w:rsid w:val="42080850"/>
    <w:rsid w:val="420A743F"/>
    <w:rsid w:val="420C41D2"/>
    <w:rsid w:val="420F4A55"/>
    <w:rsid w:val="421C2EE2"/>
    <w:rsid w:val="4220786B"/>
    <w:rsid w:val="42220C2D"/>
    <w:rsid w:val="42277902"/>
    <w:rsid w:val="422B00D2"/>
    <w:rsid w:val="422B7713"/>
    <w:rsid w:val="422C0DC4"/>
    <w:rsid w:val="423A3BCC"/>
    <w:rsid w:val="423D2E16"/>
    <w:rsid w:val="424A3277"/>
    <w:rsid w:val="42550C5E"/>
    <w:rsid w:val="4257387A"/>
    <w:rsid w:val="425A647A"/>
    <w:rsid w:val="42831116"/>
    <w:rsid w:val="4284140A"/>
    <w:rsid w:val="429D1FEC"/>
    <w:rsid w:val="42A00BBF"/>
    <w:rsid w:val="42A06623"/>
    <w:rsid w:val="42B71375"/>
    <w:rsid w:val="42CE66BF"/>
    <w:rsid w:val="42D051AD"/>
    <w:rsid w:val="42DB3D1B"/>
    <w:rsid w:val="42DE2DA6"/>
    <w:rsid w:val="42FD679C"/>
    <w:rsid w:val="43042565"/>
    <w:rsid w:val="431861FF"/>
    <w:rsid w:val="431E796B"/>
    <w:rsid w:val="432361CC"/>
    <w:rsid w:val="432C269E"/>
    <w:rsid w:val="43346222"/>
    <w:rsid w:val="43364990"/>
    <w:rsid w:val="43374264"/>
    <w:rsid w:val="43394480"/>
    <w:rsid w:val="433A4C90"/>
    <w:rsid w:val="433A6FE6"/>
    <w:rsid w:val="433F1693"/>
    <w:rsid w:val="4342680A"/>
    <w:rsid w:val="43453C0E"/>
    <w:rsid w:val="43490127"/>
    <w:rsid w:val="434A1377"/>
    <w:rsid w:val="434D7F2B"/>
    <w:rsid w:val="4350713C"/>
    <w:rsid w:val="43543CB1"/>
    <w:rsid w:val="43570DAA"/>
    <w:rsid w:val="436653E0"/>
    <w:rsid w:val="43677B5F"/>
    <w:rsid w:val="436837EF"/>
    <w:rsid w:val="437857B8"/>
    <w:rsid w:val="43791B6F"/>
    <w:rsid w:val="43792ACE"/>
    <w:rsid w:val="437B72FD"/>
    <w:rsid w:val="437F206F"/>
    <w:rsid w:val="438374A9"/>
    <w:rsid w:val="43844901"/>
    <w:rsid w:val="438A1A63"/>
    <w:rsid w:val="439D37F0"/>
    <w:rsid w:val="439E353F"/>
    <w:rsid w:val="439F07FF"/>
    <w:rsid w:val="43BA2D18"/>
    <w:rsid w:val="43BC29BB"/>
    <w:rsid w:val="43BC4EB9"/>
    <w:rsid w:val="43C130EA"/>
    <w:rsid w:val="43C31F9B"/>
    <w:rsid w:val="43C57AC2"/>
    <w:rsid w:val="43C64BAC"/>
    <w:rsid w:val="43CB1AB8"/>
    <w:rsid w:val="43D67F21"/>
    <w:rsid w:val="43D8250A"/>
    <w:rsid w:val="43D9356D"/>
    <w:rsid w:val="43D9645C"/>
    <w:rsid w:val="43DA1927"/>
    <w:rsid w:val="43E95F30"/>
    <w:rsid w:val="43EC7BBD"/>
    <w:rsid w:val="43ED5682"/>
    <w:rsid w:val="43EF0FE2"/>
    <w:rsid w:val="43F641B2"/>
    <w:rsid w:val="43F9776B"/>
    <w:rsid w:val="44022AC4"/>
    <w:rsid w:val="4403413D"/>
    <w:rsid w:val="440451B3"/>
    <w:rsid w:val="44093C00"/>
    <w:rsid w:val="44095C00"/>
    <w:rsid w:val="44114AB5"/>
    <w:rsid w:val="44136A7F"/>
    <w:rsid w:val="44193CE6"/>
    <w:rsid w:val="441D16AC"/>
    <w:rsid w:val="4422342E"/>
    <w:rsid w:val="44290050"/>
    <w:rsid w:val="4430552F"/>
    <w:rsid w:val="44320046"/>
    <w:rsid w:val="443350DA"/>
    <w:rsid w:val="44392E4A"/>
    <w:rsid w:val="44403BC7"/>
    <w:rsid w:val="44492562"/>
    <w:rsid w:val="444A39F2"/>
    <w:rsid w:val="444C5B95"/>
    <w:rsid w:val="445805D1"/>
    <w:rsid w:val="446217B4"/>
    <w:rsid w:val="44705E0C"/>
    <w:rsid w:val="44706A21"/>
    <w:rsid w:val="44727C49"/>
    <w:rsid w:val="447B2D7D"/>
    <w:rsid w:val="44812823"/>
    <w:rsid w:val="448219C7"/>
    <w:rsid w:val="44827761"/>
    <w:rsid w:val="448E07FB"/>
    <w:rsid w:val="44974335"/>
    <w:rsid w:val="4498412E"/>
    <w:rsid w:val="449F1C1A"/>
    <w:rsid w:val="44A543FC"/>
    <w:rsid w:val="44A73F1D"/>
    <w:rsid w:val="44A75419"/>
    <w:rsid w:val="44B07BCE"/>
    <w:rsid w:val="44C63593"/>
    <w:rsid w:val="44CD14E0"/>
    <w:rsid w:val="44CE6616"/>
    <w:rsid w:val="44E51B51"/>
    <w:rsid w:val="44EA5877"/>
    <w:rsid w:val="44EE459B"/>
    <w:rsid w:val="44F248E6"/>
    <w:rsid w:val="4504286C"/>
    <w:rsid w:val="4511787E"/>
    <w:rsid w:val="45153047"/>
    <w:rsid w:val="451B0406"/>
    <w:rsid w:val="451C584C"/>
    <w:rsid w:val="451E1B7F"/>
    <w:rsid w:val="451F76A5"/>
    <w:rsid w:val="452847AC"/>
    <w:rsid w:val="452A19C5"/>
    <w:rsid w:val="452C63A7"/>
    <w:rsid w:val="45401825"/>
    <w:rsid w:val="454F1D39"/>
    <w:rsid w:val="455B6CD4"/>
    <w:rsid w:val="455E3D2A"/>
    <w:rsid w:val="45646124"/>
    <w:rsid w:val="456853B9"/>
    <w:rsid w:val="456A299C"/>
    <w:rsid w:val="456B28EB"/>
    <w:rsid w:val="45733E1A"/>
    <w:rsid w:val="45740E32"/>
    <w:rsid w:val="457B3C85"/>
    <w:rsid w:val="458411E1"/>
    <w:rsid w:val="45871274"/>
    <w:rsid w:val="45880BDF"/>
    <w:rsid w:val="4588524B"/>
    <w:rsid w:val="458946E9"/>
    <w:rsid w:val="458E3310"/>
    <w:rsid w:val="45CE50D0"/>
    <w:rsid w:val="45CF1889"/>
    <w:rsid w:val="45D64EB8"/>
    <w:rsid w:val="45DB537A"/>
    <w:rsid w:val="45E25049"/>
    <w:rsid w:val="45E5559A"/>
    <w:rsid w:val="45ED4C6E"/>
    <w:rsid w:val="45ED707A"/>
    <w:rsid w:val="45EF52CA"/>
    <w:rsid w:val="45EF76DE"/>
    <w:rsid w:val="45F428E0"/>
    <w:rsid w:val="4601536B"/>
    <w:rsid w:val="46144D30"/>
    <w:rsid w:val="462A6302"/>
    <w:rsid w:val="4636236A"/>
    <w:rsid w:val="463F76C3"/>
    <w:rsid w:val="46475EBA"/>
    <w:rsid w:val="46497500"/>
    <w:rsid w:val="46503AC5"/>
    <w:rsid w:val="46511AE0"/>
    <w:rsid w:val="465B295F"/>
    <w:rsid w:val="465D7FEC"/>
    <w:rsid w:val="46612515"/>
    <w:rsid w:val="46642E74"/>
    <w:rsid w:val="4667360A"/>
    <w:rsid w:val="466778DC"/>
    <w:rsid w:val="466B0DF4"/>
    <w:rsid w:val="4670215B"/>
    <w:rsid w:val="46726F6F"/>
    <w:rsid w:val="4676606C"/>
    <w:rsid w:val="46824895"/>
    <w:rsid w:val="46853146"/>
    <w:rsid w:val="468E6CE2"/>
    <w:rsid w:val="46943C0F"/>
    <w:rsid w:val="469C5C6C"/>
    <w:rsid w:val="469D2F78"/>
    <w:rsid w:val="46A26BC0"/>
    <w:rsid w:val="46A9681C"/>
    <w:rsid w:val="46B05D9E"/>
    <w:rsid w:val="46B75DE7"/>
    <w:rsid w:val="46B83454"/>
    <w:rsid w:val="46B96DF1"/>
    <w:rsid w:val="46C2619D"/>
    <w:rsid w:val="46C41D6B"/>
    <w:rsid w:val="46C6602A"/>
    <w:rsid w:val="46C710AE"/>
    <w:rsid w:val="46D02FD9"/>
    <w:rsid w:val="46D65B6F"/>
    <w:rsid w:val="46D955A7"/>
    <w:rsid w:val="46DD62DE"/>
    <w:rsid w:val="46F030A7"/>
    <w:rsid w:val="46F878B4"/>
    <w:rsid w:val="46F96B80"/>
    <w:rsid w:val="46FC51E6"/>
    <w:rsid w:val="46FF7431"/>
    <w:rsid w:val="47040534"/>
    <w:rsid w:val="470E0148"/>
    <w:rsid w:val="470F18C2"/>
    <w:rsid w:val="470F59C5"/>
    <w:rsid w:val="47133957"/>
    <w:rsid w:val="471A6376"/>
    <w:rsid w:val="471B1876"/>
    <w:rsid w:val="4720284E"/>
    <w:rsid w:val="47234CFB"/>
    <w:rsid w:val="473016F6"/>
    <w:rsid w:val="47322AAA"/>
    <w:rsid w:val="474402AE"/>
    <w:rsid w:val="47462CC7"/>
    <w:rsid w:val="474D4CD3"/>
    <w:rsid w:val="474D629F"/>
    <w:rsid w:val="475639D3"/>
    <w:rsid w:val="47571088"/>
    <w:rsid w:val="47604016"/>
    <w:rsid w:val="476A2E5A"/>
    <w:rsid w:val="476C766A"/>
    <w:rsid w:val="4770401B"/>
    <w:rsid w:val="4779329E"/>
    <w:rsid w:val="477E7F33"/>
    <w:rsid w:val="479877A1"/>
    <w:rsid w:val="479A5E99"/>
    <w:rsid w:val="479A60D3"/>
    <w:rsid w:val="479E38D8"/>
    <w:rsid w:val="479E48B1"/>
    <w:rsid w:val="47A07E0C"/>
    <w:rsid w:val="47A96FBC"/>
    <w:rsid w:val="47AC55BD"/>
    <w:rsid w:val="47B44AFF"/>
    <w:rsid w:val="47CA3978"/>
    <w:rsid w:val="47D604EF"/>
    <w:rsid w:val="47D7542C"/>
    <w:rsid w:val="47DD5C8C"/>
    <w:rsid w:val="47E27E4B"/>
    <w:rsid w:val="47E31918"/>
    <w:rsid w:val="47E726FC"/>
    <w:rsid w:val="47E83AA5"/>
    <w:rsid w:val="47E8664F"/>
    <w:rsid w:val="47FB2049"/>
    <w:rsid w:val="480E71A2"/>
    <w:rsid w:val="48183D4F"/>
    <w:rsid w:val="481903DC"/>
    <w:rsid w:val="4820176A"/>
    <w:rsid w:val="48222913"/>
    <w:rsid w:val="482751C2"/>
    <w:rsid w:val="482C41C6"/>
    <w:rsid w:val="48384D06"/>
    <w:rsid w:val="4839240D"/>
    <w:rsid w:val="483D056E"/>
    <w:rsid w:val="48404A45"/>
    <w:rsid w:val="484D1883"/>
    <w:rsid w:val="484D1E8B"/>
    <w:rsid w:val="484F3686"/>
    <w:rsid w:val="485350C0"/>
    <w:rsid w:val="48536653"/>
    <w:rsid w:val="485458B8"/>
    <w:rsid w:val="485671BC"/>
    <w:rsid w:val="485D28C9"/>
    <w:rsid w:val="485D4DE1"/>
    <w:rsid w:val="4862032B"/>
    <w:rsid w:val="486B1EB6"/>
    <w:rsid w:val="486B61AC"/>
    <w:rsid w:val="4870272E"/>
    <w:rsid w:val="487C07FF"/>
    <w:rsid w:val="487F0532"/>
    <w:rsid w:val="48836450"/>
    <w:rsid w:val="488543BA"/>
    <w:rsid w:val="48876834"/>
    <w:rsid w:val="488F069E"/>
    <w:rsid w:val="48916ADF"/>
    <w:rsid w:val="489F1C54"/>
    <w:rsid w:val="48A24875"/>
    <w:rsid w:val="48B30090"/>
    <w:rsid w:val="48B87E46"/>
    <w:rsid w:val="48CA305D"/>
    <w:rsid w:val="48CA7928"/>
    <w:rsid w:val="48CD5C54"/>
    <w:rsid w:val="48DA4C37"/>
    <w:rsid w:val="48E32FB1"/>
    <w:rsid w:val="48E7655B"/>
    <w:rsid w:val="48E94A02"/>
    <w:rsid w:val="48EB1D78"/>
    <w:rsid w:val="48F112D5"/>
    <w:rsid w:val="48F13107"/>
    <w:rsid w:val="48F24387"/>
    <w:rsid w:val="48F42222"/>
    <w:rsid w:val="48FA7BC4"/>
    <w:rsid w:val="49003B9F"/>
    <w:rsid w:val="49044A59"/>
    <w:rsid w:val="491523E1"/>
    <w:rsid w:val="49155047"/>
    <w:rsid w:val="49196832"/>
    <w:rsid w:val="491F1118"/>
    <w:rsid w:val="49276B29"/>
    <w:rsid w:val="492C579F"/>
    <w:rsid w:val="492F0338"/>
    <w:rsid w:val="49347D6A"/>
    <w:rsid w:val="49420AF2"/>
    <w:rsid w:val="4946514A"/>
    <w:rsid w:val="49494CF1"/>
    <w:rsid w:val="49502F3F"/>
    <w:rsid w:val="495279EA"/>
    <w:rsid w:val="495E08D1"/>
    <w:rsid w:val="4964315C"/>
    <w:rsid w:val="496D0DDB"/>
    <w:rsid w:val="49753D38"/>
    <w:rsid w:val="49783238"/>
    <w:rsid w:val="497873D9"/>
    <w:rsid w:val="498F4DFA"/>
    <w:rsid w:val="49920446"/>
    <w:rsid w:val="499279A0"/>
    <w:rsid w:val="49A33335"/>
    <w:rsid w:val="49A77099"/>
    <w:rsid w:val="49B04490"/>
    <w:rsid w:val="49B714A2"/>
    <w:rsid w:val="49BE24DC"/>
    <w:rsid w:val="49BF6D61"/>
    <w:rsid w:val="49C75424"/>
    <w:rsid w:val="49CB1974"/>
    <w:rsid w:val="49CB1BAA"/>
    <w:rsid w:val="49CB69A0"/>
    <w:rsid w:val="49CC7DFC"/>
    <w:rsid w:val="49D2092E"/>
    <w:rsid w:val="49D57A0B"/>
    <w:rsid w:val="49D8128A"/>
    <w:rsid w:val="49DC7715"/>
    <w:rsid w:val="49E302C2"/>
    <w:rsid w:val="49E418FF"/>
    <w:rsid w:val="49E55C09"/>
    <w:rsid w:val="49F21BC2"/>
    <w:rsid w:val="49F27137"/>
    <w:rsid w:val="49FC589D"/>
    <w:rsid w:val="49FE5ADB"/>
    <w:rsid w:val="4A023139"/>
    <w:rsid w:val="4A0E4373"/>
    <w:rsid w:val="4A1470AD"/>
    <w:rsid w:val="4A180186"/>
    <w:rsid w:val="4A186969"/>
    <w:rsid w:val="4A205A52"/>
    <w:rsid w:val="4A275032"/>
    <w:rsid w:val="4A3403F5"/>
    <w:rsid w:val="4A370FED"/>
    <w:rsid w:val="4A4040B7"/>
    <w:rsid w:val="4A4554B8"/>
    <w:rsid w:val="4A456DB9"/>
    <w:rsid w:val="4A4D0811"/>
    <w:rsid w:val="4A521B98"/>
    <w:rsid w:val="4A62406F"/>
    <w:rsid w:val="4A674760"/>
    <w:rsid w:val="4A7B576F"/>
    <w:rsid w:val="4A8B36FA"/>
    <w:rsid w:val="4A8E6E5F"/>
    <w:rsid w:val="4A9638BC"/>
    <w:rsid w:val="4A9F53E2"/>
    <w:rsid w:val="4AA056EF"/>
    <w:rsid w:val="4AA85A47"/>
    <w:rsid w:val="4ABA715C"/>
    <w:rsid w:val="4ABD7744"/>
    <w:rsid w:val="4AC76D96"/>
    <w:rsid w:val="4ACD4B81"/>
    <w:rsid w:val="4AD27F4E"/>
    <w:rsid w:val="4AD66A58"/>
    <w:rsid w:val="4AE64EED"/>
    <w:rsid w:val="4AE90F3E"/>
    <w:rsid w:val="4AEB3B5C"/>
    <w:rsid w:val="4AEF263E"/>
    <w:rsid w:val="4AF32BD9"/>
    <w:rsid w:val="4AF61373"/>
    <w:rsid w:val="4B065161"/>
    <w:rsid w:val="4B091CAB"/>
    <w:rsid w:val="4B0F6564"/>
    <w:rsid w:val="4B150AAE"/>
    <w:rsid w:val="4B166E55"/>
    <w:rsid w:val="4B246313"/>
    <w:rsid w:val="4B246E03"/>
    <w:rsid w:val="4B2A1B53"/>
    <w:rsid w:val="4B2F78B4"/>
    <w:rsid w:val="4B31480A"/>
    <w:rsid w:val="4B447E66"/>
    <w:rsid w:val="4B4963C1"/>
    <w:rsid w:val="4B505199"/>
    <w:rsid w:val="4B533C05"/>
    <w:rsid w:val="4B682032"/>
    <w:rsid w:val="4B6D4F60"/>
    <w:rsid w:val="4B712BCF"/>
    <w:rsid w:val="4B725BE9"/>
    <w:rsid w:val="4B7467D8"/>
    <w:rsid w:val="4B7E20FA"/>
    <w:rsid w:val="4B7F2C4C"/>
    <w:rsid w:val="4B8244EA"/>
    <w:rsid w:val="4B840262"/>
    <w:rsid w:val="4B8608D1"/>
    <w:rsid w:val="4B87609A"/>
    <w:rsid w:val="4B942AC7"/>
    <w:rsid w:val="4B944949"/>
    <w:rsid w:val="4B9B2242"/>
    <w:rsid w:val="4BA729C7"/>
    <w:rsid w:val="4BA803F5"/>
    <w:rsid w:val="4BAC5FBF"/>
    <w:rsid w:val="4BB1594B"/>
    <w:rsid w:val="4BBC79FC"/>
    <w:rsid w:val="4BD152B7"/>
    <w:rsid w:val="4BD65BA3"/>
    <w:rsid w:val="4BDE1E9B"/>
    <w:rsid w:val="4BEA5146"/>
    <w:rsid w:val="4BEE652D"/>
    <w:rsid w:val="4BEF3A7F"/>
    <w:rsid w:val="4BEF7DD1"/>
    <w:rsid w:val="4BFA4AFE"/>
    <w:rsid w:val="4BFF3CEC"/>
    <w:rsid w:val="4C0C0AEF"/>
    <w:rsid w:val="4C0D1AB5"/>
    <w:rsid w:val="4C0D6B63"/>
    <w:rsid w:val="4C100436"/>
    <w:rsid w:val="4C15202F"/>
    <w:rsid w:val="4C15608A"/>
    <w:rsid w:val="4C180EF3"/>
    <w:rsid w:val="4C196BC9"/>
    <w:rsid w:val="4C1F3780"/>
    <w:rsid w:val="4C216E77"/>
    <w:rsid w:val="4C242B9A"/>
    <w:rsid w:val="4C2707BF"/>
    <w:rsid w:val="4C2E4820"/>
    <w:rsid w:val="4C325962"/>
    <w:rsid w:val="4C3419F8"/>
    <w:rsid w:val="4C3510AE"/>
    <w:rsid w:val="4C35599A"/>
    <w:rsid w:val="4C3A4602"/>
    <w:rsid w:val="4C3B6EA2"/>
    <w:rsid w:val="4C3D3A68"/>
    <w:rsid w:val="4C4A0649"/>
    <w:rsid w:val="4C532ADA"/>
    <w:rsid w:val="4C56775C"/>
    <w:rsid w:val="4C6F469D"/>
    <w:rsid w:val="4C7B41DA"/>
    <w:rsid w:val="4C7D362F"/>
    <w:rsid w:val="4C7F49C9"/>
    <w:rsid w:val="4C806C7C"/>
    <w:rsid w:val="4C833096"/>
    <w:rsid w:val="4C8449BE"/>
    <w:rsid w:val="4C8B6870"/>
    <w:rsid w:val="4C8D4122"/>
    <w:rsid w:val="4C8E75EA"/>
    <w:rsid w:val="4C96451A"/>
    <w:rsid w:val="4CAC5CC3"/>
    <w:rsid w:val="4CB314C9"/>
    <w:rsid w:val="4CB42F5B"/>
    <w:rsid w:val="4CB701C3"/>
    <w:rsid w:val="4CC27294"/>
    <w:rsid w:val="4CC50E86"/>
    <w:rsid w:val="4CC9200D"/>
    <w:rsid w:val="4CCA6900"/>
    <w:rsid w:val="4CDF3429"/>
    <w:rsid w:val="4CE470D3"/>
    <w:rsid w:val="4CEF09AC"/>
    <w:rsid w:val="4CF85F6B"/>
    <w:rsid w:val="4CFA6233"/>
    <w:rsid w:val="4D07114B"/>
    <w:rsid w:val="4D0E081E"/>
    <w:rsid w:val="4D115B26"/>
    <w:rsid w:val="4D13628C"/>
    <w:rsid w:val="4D1D3A49"/>
    <w:rsid w:val="4D1F6494"/>
    <w:rsid w:val="4D203FBB"/>
    <w:rsid w:val="4D206030"/>
    <w:rsid w:val="4D2E2B7B"/>
    <w:rsid w:val="4D3006A2"/>
    <w:rsid w:val="4D381304"/>
    <w:rsid w:val="4D3A1520"/>
    <w:rsid w:val="4D3D4B6D"/>
    <w:rsid w:val="4D425940"/>
    <w:rsid w:val="4D4B40AD"/>
    <w:rsid w:val="4D4E730C"/>
    <w:rsid w:val="4D526B76"/>
    <w:rsid w:val="4D553C64"/>
    <w:rsid w:val="4D64659D"/>
    <w:rsid w:val="4D697710"/>
    <w:rsid w:val="4D6C6F43"/>
    <w:rsid w:val="4D766A7E"/>
    <w:rsid w:val="4D7B2C90"/>
    <w:rsid w:val="4D7B35C8"/>
    <w:rsid w:val="4D7D140D"/>
    <w:rsid w:val="4D8B6B92"/>
    <w:rsid w:val="4D8E361A"/>
    <w:rsid w:val="4D911294"/>
    <w:rsid w:val="4DA97163"/>
    <w:rsid w:val="4DB01407"/>
    <w:rsid w:val="4DB67621"/>
    <w:rsid w:val="4DCF7EBB"/>
    <w:rsid w:val="4DD54DA5"/>
    <w:rsid w:val="4DD728CB"/>
    <w:rsid w:val="4DD74C8C"/>
    <w:rsid w:val="4DDB6B97"/>
    <w:rsid w:val="4DE13610"/>
    <w:rsid w:val="4DE35714"/>
    <w:rsid w:val="4DE4410C"/>
    <w:rsid w:val="4DE81588"/>
    <w:rsid w:val="4DEC4FB0"/>
    <w:rsid w:val="4DF1650A"/>
    <w:rsid w:val="4DF47921"/>
    <w:rsid w:val="4DFA0CB0"/>
    <w:rsid w:val="4DFC67D6"/>
    <w:rsid w:val="4DFE3C67"/>
    <w:rsid w:val="4DFF1E22"/>
    <w:rsid w:val="4DFF4D0A"/>
    <w:rsid w:val="4E06660F"/>
    <w:rsid w:val="4E075D8A"/>
    <w:rsid w:val="4E0A43F8"/>
    <w:rsid w:val="4E102281"/>
    <w:rsid w:val="4E1C5288"/>
    <w:rsid w:val="4E240946"/>
    <w:rsid w:val="4E250DA4"/>
    <w:rsid w:val="4E2B74D5"/>
    <w:rsid w:val="4E2C48A2"/>
    <w:rsid w:val="4E3B5B69"/>
    <w:rsid w:val="4E3E37DD"/>
    <w:rsid w:val="4E4135A7"/>
    <w:rsid w:val="4E4661FD"/>
    <w:rsid w:val="4E575ECB"/>
    <w:rsid w:val="4E5E2FEC"/>
    <w:rsid w:val="4E61488B"/>
    <w:rsid w:val="4E6B0257"/>
    <w:rsid w:val="4E76751B"/>
    <w:rsid w:val="4E7823F5"/>
    <w:rsid w:val="4E7F6123"/>
    <w:rsid w:val="4E803C90"/>
    <w:rsid w:val="4E8073F4"/>
    <w:rsid w:val="4E810A89"/>
    <w:rsid w:val="4E832A53"/>
    <w:rsid w:val="4E916F1E"/>
    <w:rsid w:val="4E933360"/>
    <w:rsid w:val="4E9E001F"/>
    <w:rsid w:val="4EA57B48"/>
    <w:rsid w:val="4EA61166"/>
    <w:rsid w:val="4EAB0005"/>
    <w:rsid w:val="4EAE0F79"/>
    <w:rsid w:val="4EB2165A"/>
    <w:rsid w:val="4EB87D3B"/>
    <w:rsid w:val="4EBD06E3"/>
    <w:rsid w:val="4EBF00AE"/>
    <w:rsid w:val="4EC17723"/>
    <w:rsid w:val="4EC217CD"/>
    <w:rsid w:val="4ECD77C8"/>
    <w:rsid w:val="4ED03D23"/>
    <w:rsid w:val="4ED137BE"/>
    <w:rsid w:val="4ED16532"/>
    <w:rsid w:val="4EDF0DC6"/>
    <w:rsid w:val="4EE1737C"/>
    <w:rsid w:val="4EEE4370"/>
    <w:rsid w:val="4EF0573D"/>
    <w:rsid w:val="4EFD1011"/>
    <w:rsid w:val="4EFD4F1D"/>
    <w:rsid w:val="4EFE79D7"/>
    <w:rsid w:val="4F027C9F"/>
    <w:rsid w:val="4F0B7F86"/>
    <w:rsid w:val="4F0C0946"/>
    <w:rsid w:val="4F142512"/>
    <w:rsid w:val="4F1C02FC"/>
    <w:rsid w:val="4F237E48"/>
    <w:rsid w:val="4F3A75B6"/>
    <w:rsid w:val="4F3E0943"/>
    <w:rsid w:val="4F3F4BCC"/>
    <w:rsid w:val="4F4A2CF4"/>
    <w:rsid w:val="4F4E4E0F"/>
    <w:rsid w:val="4F552D33"/>
    <w:rsid w:val="4F5543EF"/>
    <w:rsid w:val="4F5756C6"/>
    <w:rsid w:val="4F766114"/>
    <w:rsid w:val="4F783427"/>
    <w:rsid w:val="4F7C1F7D"/>
    <w:rsid w:val="4F7D18BE"/>
    <w:rsid w:val="4F7D532F"/>
    <w:rsid w:val="4F7D56F4"/>
    <w:rsid w:val="4F7F0B09"/>
    <w:rsid w:val="4F893A3A"/>
    <w:rsid w:val="4F8E345D"/>
    <w:rsid w:val="4F99271D"/>
    <w:rsid w:val="4FA569CB"/>
    <w:rsid w:val="4FAC734A"/>
    <w:rsid w:val="4FAE6583"/>
    <w:rsid w:val="4FB01A33"/>
    <w:rsid w:val="4FBB3CD7"/>
    <w:rsid w:val="4FBC621D"/>
    <w:rsid w:val="4FBF4359"/>
    <w:rsid w:val="4FC122DB"/>
    <w:rsid w:val="4FC155E1"/>
    <w:rsid w:val="4FC62A8C"/>
    <w:rsid w:val="4FC74BC1"/>
    <w:rsid w:val="4FDD69CC"/>
    <w:rsid w:val="4FE047F5"/>
    <w:rsid w:val="4FE20F0D"/>
    <w:rsid w:val="4FEA290B"/>
    <w:rsid w:val="4FEF2732"/>
    <w:rsid w:val="4FEF4901"/>
    <w:rsid w:val="4FF74123"/>
    <w:rsid w:val="4FFA5A63"/>
    <w:rsid w:val="4FFD03FE"/>
    <w:rsid w:val="5002462F"/>
    <w:rsid w:val="500D66E2"/>
    <w:rsid w:val="500F58FF"/>
    <w:rsid w:val="50132FD9"/>
    <w:rsid w:val="50142036"/>
    <w:rsid w:val="50210776"/>
    <w:rsid w:val="50255C33"/>
    <w:rsid w:val="50263807"/>
    <w:rsid w:val="504F0986"/>
    <w:rsid w:val="50504C4B"/>
    <w:rsid w:val="50612ECD"/>
    <w:rsid w:val="506628AC"/>
    <w:rsid w:val="506D3089"/>
    <w:rsid w:val="50771A9C"/>
    <w:rsid w:val="50782C11"/>
    <w:rsid w:val="508310DE"/>
    <w:rsid w:val="50842909"/>
    <w:rsid w:val="50863AEE"/>
    <w:rsid w:val="50866492"/>
    <w:rsid w:val="508B1D03"/>
    <w:rsid w:val="508F6C02"/>
    <w:rsid w:val="509136C3"/>
    <w:rsid w:val="509262DF"/>
    <w:rsid w:val="5098335B"/>
    <w:rsid w:val="50985E3F"/>
    <w:rsid w:val="509A7073"/>
    <w:rsid w:val="509C6E7C"/>
    <w:rsid w:val="509C7BAB"/>
    <w:rsid w:val="50A320AE"/>
    <w:rsid w:val="50A63920"/>
    <w:rsid w:val="50A867A1"/>
    <w:rsid w:val="50B2718E"/>
    <w:rsid w:val="50B66A57"/>
    <w:rsid w:val="50B81C06"/>
    <w:rsid w:val="50B9275C"/>
    <w:rsid w:val="50BA5CF4"/>
    <w:rsid w:val="50C04EB6"/>
    <w:rsid w:val="50C10C65"/>
    <w:rsid w:val="50C92078"/>
    <w:rsid w:val="50D133DB"/>
    <w:rsid w:val="50D70CAF"/>
    <w:rsid w:val="50D92DFE"/>
    <w:rsid w:val="50EC0D83"/>
    <w:rsid w:val="50ED2406"/>
    <w:rsid w:val="50FA3344"/>
    <w:rsid w:val="50FB0EDB"/>
    <w:rsid w:val="51005867"/>
    <w:rsid w:val="510E552C"/>
    <w:rsid w:val="510F6820"/>
    <w:rsid w:val="5110173C"/>
    <w:rsid w:val="5110287C"/>
    <w:rsid w:val="5111657A"/>
    <w:rsid w:val="5115210E"/>
    <w:rsid w:val="51155092"/>
    <w:rsid w:val="511A06DA"/>
    <w:rsid w:val="511B7657"/>
    <w:rsid w:val="511D3BEC"/>
    <w:rsid w:val="512338D2"/>
    <w:rsid w:val="512A365A"/>
    <w:rsid w:val="513639C0"/>
    <w:rsid w:val="5138163E"/>
    <w:rsid w:val="51395B81"/>
    <w:rsid w:val="514F30C0"/>
    <w:rsid w:val="51501312"/>
    <w:rsid w:val="51516E38"/>
    <w:rsid w:val="515350B4"/>
    <w:rsid w:val="51574F11"/>
    <w:rsid w:val="515D57DD"/>
    <w:rsid w:val="5162104E"/>
    <w:rsid w:val="5164224A"/>
    <w:rsid w:val="5167040A"/>
    <w:rsid w:val="516B6B10"/>
    <w:rsid w:val="51756B14"/>
    <w:rsid w:val="51774456"/>
    <w:rsid w:val="5188599D"/>
    <w:rsid w:val="5194725B"/>
    <w:rsid w:val="519A3D50"/>
    <w:rsid w:val="51A0191B"/>
    <w:rsid w:val="51A324D5"/>
    <w:rsid w:val="51A90892"/>
    <w:rsid w:val="51B1103D"/>
    <w:rsid w:val="51BD6257"/>
    <w:rsid w:val="51C34A0A"/>
    <w:rsid w:val="51C61EF0"/>
    <w:rsid w:val="51C679D3"/>
    <w:rsid w:val="51D04201"/>
    <w:rsid w:val="51D30E61"/>
    <w:rsid w:val="51DE5488"/>
    <w:rsid w:val="51DF3A1A"/>
    <w:rsid w:val="51E27A91"/>
    <w:rsid w:val="51F24D8E"/>
    <w:rsid w:val="520322B9"/>
    <w:rsid w:val="52057209"/>
    <w:rsid w:val="5208399B"/>
    <w:rsid w:val="522B58DB"/>
    <w:rsid w:val="523319F6"/>
    <w:rsid w:val="52350508"/>
    <w:rsid w:val="52353316"/>
    <w:rsid w:val="524538FA"/>
    <w:rsid w:val="524D4732"/>
    <w:rsid w:val="524E2E8A"/>
    <w:rsid w:val="524E5917"/>
    <w:rsid w:val="524F21B5"/>
    <w:rsid w:val="525566F1"/>
    <w:rsid w:val="525979A8"/>
    <w:rsid w:val="525A3ACB"/>
    <w:rsid w:val="52642B9B"/>
    <w:rsid w:val="52695D62"/>
    <w:rsid w:val="526D6413"/>
    <w:rsid w:val="526E1A57"/>
    <w:rsid w:val="526E67F5"/>
    <w:rsid w:val="52822B71"/>
    <w:rsid w:val="52887419"/>
    <w:rsid w:val="528C45CC"/>
    <w:rsid w:val="529845C2"/>
    <w:rsid w:val="529E4F59"/>
    <w:rsid w:val="52A64F62"/>
    <w:rsid w:val="52AB2578"/>
    <w:rsid w:val="52AC412F"/>
    <w:rsid w:val="52AC46CC"/>
    <w:rsid w:val="52AD786B"/>
    <w:rsid w:val="52B14033"/>
    <w:rsid w:val="52B215E7"/>
    <w:rsid w:val="52B91E49"/>
    <w:rsid w:val="52B96A43"/>
    <w:rsid w:val="52CD5231"/>
    <w:rsid w:val="52CF034E"/>
    <w:rsid w:val="52DA2B85"/>
    <w:rsid w:val="52DE64AA"/>
    <w:rsid w:val="52DF38D4"/>
    <w:rsid w:val="52E45227"/>
    <w:rsid w:val="52E547E4"/>
    <w:rsid w:val="52FA7615"/>
    <w:rsid w:val="53134EDE"/>
    <w:rsid w:val="531759A7"/>
    <w:rsid w:val="532114D1"/>
    <w:rsid w:val="532207FA"/>
    <w:rsid w:val="5322364F"/>
    <w:rsid w:val="5328631A"/>
    <w:rsid w:val="5335153C"/>
    <w:rsid w:val="5337070E"/>
    <w:rsid w:val="5338205E"/>
    <w:rsid w:val="53397B84"/>
    <w:rsid w:val="53456D98"/>
    <w:rsid w:val="53514031"/>
    <w:rsid w:val="53553B85"/>
    <w:rsid w:val="53562784"/>
    <w:rsid w:val="53591005"/>
    <w:rsid w:val="536A7B15"/>
    <w:rsid w:val="536D39B3"/>
    <w:rsid w:val="536E0C3F"/>
    <w:rsid w:val="536F5548"/>
    <w:rsid w:val="537B32C7"/>
    <w:rsid w:val="537E0266"/>
    <w:rsid w:val="53837051"/>
    <w:rsid w:val="539352A0"/>
    <w:rsid w:val="53A039CC"/>
    <w:rsid w:val="53A1505A"/>
    <w:rsid w:val="53B44138"/>
    <w:rsid w:val="53C5766A"/>
    <w:rsid w:val="53C87E78"/>
    <w:rsid w:val="53D814A5"/>
    <w:rsid w:val="53E1348A"/>
    <w:rsid w:val="53E162A0"/>
    <w:rsid w:val="53E27DB3"/>
    <w:rsid w:val="53F00B8B"/>
    <w:rsid w:val="53FA4195"/>
    <w:rsid w:val="53FD675D"/>
    <w:rsid w:val="54063E08"/>
    <w:rsid w:val="54071A30"/>
    <w:rsid w:val="54077C82"/>
    <w:rsid w:val="54163A4F"/>
    <w:rsid w:val="541A5E66"/>
    <w:rsid w:val="541F419B"/>
    <w:rsid w:val="54200B73"/>
    <w:rsid w:val="54260108"/>
    <w:rsid w:val="5426635A"/>
    <w:rsid w:val="54267606"/>
    <w:rsid w:val="542A6D91"/>
    <w:rsid w:val="542E4633"/>
    <w:rsid w:val="543437E8"/>
    <w:rsid w:val="543C4BFE"/>
    <w:rsid w:val="543E6075"/>
    <w:rsid w:val="54436F0C"/>
    <w:rsid w:val="5450600B"/>
    <w:rsid w:val="545662D1"/>
    <w:rsid w:val="545D6084"/>
    <w:rsid w:val="54640E28"/>
    <w:rsid w:val="547E6196"/>
    <w:rsid w:val="547F3FE9"/>
    <w:rsid w:val="54887C3D"/>
    <w:rsid w:val="548968E9"/>
    <w:rsid w:val="548E0657"/>
    <w:rsid w:val="549A523E"/>
    <w:rsid w:val="549E6A91"/>
    <w:rsid w:val="54A338BF"/>
    <w:rsid w:val="54A3540A"/>
    <w:rsid w:val="54A600BE"/>
    <w:rsid w:val="54A83846"/>
    <w:rsid w:val="54AF434B"/>
    <w:rsid w:val="54B93F2C"/>
    <w:rsid w:val="54C47921"/>
    <w:rsid w:val="54C61ABE"/>
    <w:rsid w:val="54C727C2"/>
    <w:rsid w:val="54C731EC"/>
    <w:rsid w:val="54DC3BE5"/>
    <w:rsid w:val="54DF3E23"/>
    <w:rsid w:val="54E7647B"/>
    <w:rsid w:val="54E83610"/>
    <w:rsid w:val="54EB2543"/>
    <w:rsid w:val="54EE58C1"/>
    <w:rsid w:val="54FC1BD7"/>
    <w:rsid w:val="550A5C7C"/>
    <w:rsid w:val="551A4389"/>
    <w:rsid w:val="55201762"/>
    <w:rsid w:val="55243733"/>
    <w:rsid w:val="5525559C"/>
    <w:rsid w:val="55344548"/>
    <w:rsid w:val="55363231"/>
    <w:rsid w:val="553C2D0E"/>
    <w:rsid w:val="553D1BAE"/>
    <w:rsid w:val="554A76D0"/>
    <w:rsid w:val="554C7A2A"/>
    <w:rsid w:val="554D5B69"/>
    <w:rsid w:val="555032D6"/>
    <w:rsid w:val="555053ED"/>
    <w:rsid w:val="5554122B"/>
    <w:rsid w:val="555D0D05"/>
    <w:rsid w:val="555F63FB"/>
    <w:rsid w:val="5571446C"/>
    <w:rsid w:val="55715C11"/>
    <w:rsid w:val="55717045"/>
    <w:rsid w:val="558B206E"/>
    <w:rsid w:val="55945546"/>
    <w:rsid w:val="55957C55"/>
    <w:rsid w:val="559772D7"/>
    <w:rsid w:val="55990DAE"/>
    <w:rsid w:val="559B174B"/>
    <w:rsid w:val="55A16646"/>
    <w:rsid w:val="55A52F7E"/>
    <w:rsid w:val="55A728DF"/>
    <w:rsid w:val="55B0074C"/>
    <w:rsid w:val="55B81234"/>
    <w:rsid w:val="55C20305"/>
    <w:rsid w:val="55C4407D"/>
    <w:rsid w:val="55CE0CF4"/>
    <w:rsid w:val="55CE1049"/>
    <w:rsid w:val="55CF0C2E"/>
    <w:rsid w:val="55DD7733"/>
    <w:rsid w:val="55EA4EC0"/>
    <w:rsid w:val="55F85AD5"/>
    <w:rsid w:val="561072C2"/>
    <w:rsid w:val="56107D5F"/>
    <w:rsid w:val="5621519C"/>
    <w:rsid w:val="56314F63"/>
    <w:rsid w:val="56316854"/>
    <w:rsid w:val="56466840"/>
    <w:rsid w:val="5647080A"/>
    <w:rsid w:val="56470D9A"/>
    <w:rsid w:val="565069A4"/>
    <w:rsid w:val="56633896"/>
    <w:rsid w:val="5664066A"/>
    <w:rsid w:val="56660C90"/>
    <w:rsid w:val="566B44F9"/>
    <w:rsid w:val="566C26D3"/>
    <w:rsid w:val="566E3FE9"/>
    <w:rsid w:val="56724C0E"/>
    <w:rsid w:val="567A578B"/>
    <w:rsid w:val="56803ED8"/>
    <w:rsid w:val="568C369D"/>
    <w:rsid w:val="569804A6"/>
    <w:rsid w:val="56A33C92"/>
    <w:rsid w:val="56AE1205"/>
    <w:rsid w:val="56B22A9C"/>
    <w:rsid w:val="56B92464"/>
    <w:rsid w:val="56D57BC4"/>
    <w:rsid w:val="56F359FF"/>
    <w:rsid w:val="56F52014"/>
    <w:rsid w:val="56F7154C"/>
    <w:rsid w:val="5712706A"/>
    <w:rsid w:val="57174680"/>
    <w:rsid w:val="571A7727"/>
    <w:rsid w:val="57234DD3"/>
    <w:rsid w:val="57250B4B"/>
    <w:rsid w:val="573065E8"/>
    <w:rsid w:val="57503686"/>
    <w:rsid w:val="575552A4"/>
    <w:rsid w:val="575F07F3"/>
    <w:rsid w:val="5765363E"/>
    <w:rsid w:val="576F1263"/>
    <w:rsid w:val="57746916"/>
    <w:rsid w:val="57757B5A"/>
    <w:rsid w:val="57797EEB"/>
    <w:rsid w:val="577E46FF"/>
    <w:rsid w:val="57886AD4"/>
    <w:rsid w:val="578D049F"/>
    <w:rsid w:val="579932E7"/>
    <w:rsid w:val="579C0D96"/>
    <w:rsid w:val="57A001D2"/>
    <w:rsid w:val="57A37CC2"/>
    <w:rsid w:val="57A451D9"/>
    <w:rsid w:val="57B44CCE"/>
    <w:rsid w:val="57B72A76"/>
    <w:rsid w:val="57B86FB7"/>
    <w:rsid w:val="57B974E6"/>
    <w:rsid w:val="57BE5D7F"/>
    <w:rsid w:val="57C41EF9"/>
    <w:rsid w:val="57CB6AE4"/>
    <w:rsid w:val="57CB7695"/>
    <w:rsid w:val="57D251DC"/>
    <w:rsid w:val="57D305A7"/>
    <w:rsid w:val="57D50A07"/>
    <w:rsid w:val="57D92495"/>
    <w:rsid w:val="57DC43AE"/>
    <w:rsid w:val="57DE6F4C"/>
    <w:rsid w:val="57E13CBE"/>
    <w:rsid w:val="57E23765"/>
    <w:rsid w:val="57E642F4"/>
    <w:rsid w:val="57E7388C"/>
    <w:rsid w:val="57F56770"/>
    <w:rsid w:val="580106AA"/>
    <w:rsid w:val="58035680"/>
    <w:rsid w:val="580B160E"/>
    <w:rsid w:val="58141824"/>
    <w:rsid w:val="581B5AAA"/>
    <w:rsid w:val="582145CD"/>
    <w:rsid w:val="582232BF"/>
    <w:rsid w:val="58247055"/>
    <w:rsid w:val="583059FA"/>
    <w:rsid w:val="58404C17"/>
    <w:rsid w:val="584E7926"/>
    <w:rsid w:val="585316E8"/>
    <w:rsid w:val="5856172D"/>
    <w:rsid w:val="585969EE"/>
    <w:rsid w:val="58617594"/>
    <w:rsid w:val="5862192B"/>
    <w:rsid w:val="58754C8B"/>
    <w:rsid w:val="58801DB1"/>
    <w:rsid w:val="588B414B"/>
    <w:rsid w:val="589046EA"/>
    <w:rsid w:val="58937D37"/>
    <w:rsid w:val="589A7317"/>
    <w:rsid w:val="58A41F44"/>
    <w:rsid w:val="58A96B22"/>
    <w:rsid w:val="58AD704A"/>
    <w:rsid w:val="58B25857"/>
    <w:rsid w:val="58B405C1"/>
    <w:rsid w:val="58B8779D"/>
    <w:rsid w:val="58C3686E"/>
    <w:rsid w:val="58C75882"/>
    <w:rsid w:val="58CE212B"/>
    <w:rsid w:val="58D43E5C"/>
    <w:rsid w:val="58DF7A9F"/>
    <w:rsid w:val="58EA204C"/>
    <w:rsid w:val="58ED7D0F"/>
    <w:rsid w:val="58F06F37"/>
    <w:rsid w:val="58FE3FD3"/>
    <w:rsid w:val="58FE499D"/>
    <w:rsid w:val="58FF1DDB"/>
    <w:rsid w:val="5900361E"/>
    <w:rsid w:val="590810E5"/>
    <w:rsid w:val="5909268A"/>
    <w:rsid w:val="5909400D"/>
    <w:rsid w:val="590C4F28"/>
    <w:rsid w:val="59140E77"/>
    <w:rsid w:val="59335275"/>
    <w:rsid w:val="59343266"/>
    <w:rsid w:val="5938529C"/>
    <w:rsid w:val="5944285A"/>
    <w:rsid w:val="594C23E9"/>
    <w:rsid w:val="594F22AF"/>
    <w:rsid w:val="595B06CA"/>
    <w:rsid w:val="595F1064"/>
    <w:rsid w:val="59657925"/>
    <w:rsid w:val="597E3F42"/>
    <w:rsid w:val="59805759"/>
    <w:rsid w:val="598747B7"/>
    <w:rsid w:val="598749FD"/>
    <w:rsid w:val="59887F93"/>
    <w:rsid w:val="598D0D02"/>
    <w:rsid w:val="599E4BE5"/>
    <w:rsid w:val="59A10231"/>
    <w:rsid w:val="59A3044D"/>
    <w:rsid w:val="59AC1C0A"/>
    <w:rsid w:val="59AD307A"/>
    <w:rsid w:val="59B54F5A"/>
    <w:rsid w:val="59C04A78"/>
    <w:rsid w:val="59C339B2"/>
    <w:rsid w:val="59E91789"/>
    <w:rsid w:val="59EC3BA2"/>
    <w:rsid w:val="59EF2121"/>
    <w:rsid w:val="59F2732D"/>
    <w:rsid w:val="59F340C6"/>
    <w:rsid w:val="59F91FD8"/>
    <w:rsid w:val="5A03035A"/>
    <w:rsid w:val="5A061624"/>
    <w:rsid w:val="5A0C7DA1"/>
    <w:rsid w:val="5A1475F5"/>
    <w:rsid w:val="5A1530F9"/>
    <w:rsid w:val="5A1A070F"/>
    <w:rsid w:val="5A2A46CB"/>
    <w:rsid w:val="5A2D03FB"/>
    <w:rsid w:val="5A2E1C4B"/>
    <w:rsid w:val="5A2F44D7"/>
    <w:rsid w:val="5A324C6C"/>
    <w:rsid w:val="5A3A4636"/>
    <w:rsid w:val="5A3B2D8E"/>
    <w:rsid w:val="5A3B68D8"/>
    <w:rsid w:val="5A3C747D"/>
    <w:rsid w:val="5A42686F"/>
    <w:rsid w:val="5A4A4453"/>
    <w:rsid w:val="5A4D4A45"/>
    <w:rsid w:val="5A4E26F3"/>
    <w:rsid w:val="5A56101C"/>
    <w:rsid w:val="5A6B2D19"/>
    <w:rsid w:val="5A70032F"/>
    <w:rsid w:val="5A7547E2"/>
    <w:rsid w:val="5A7C55A5"/>
    <w:rsid w:val="5A7E6226"/>
    <w:rsid w:val="5A7E782A"/>
    <w:rsid w:val="5A7F3CF8"/>
    <w:rsid w:val="5A861ABD"/>
    <w:rsid w:val="5A8E6A07"/>
    <w:rsid w:val="5A9600FD"/>
    <w:rsid w:val="5A9D4E9D"/>
    <w:rsid w:val="5AA22BE6"/>
    <w:rsid w:val="5ABA5A4E"/>
    <w:rsid w:val="5ABD109B"/>
    <w:rsid w:val="5ABE2233"/>
    <w:rsid w:val="5ABF20BF"/>
    <w:rsid w:val="5AC05A1E"/>
    <w:rsid w:val="5AC94ADD"/>
    <w:rsid w:val="5ACE2B9F"/>
    <w:rsid w:val="5AD16223"/>
    <w:rsid w:val="5AE55EA7"/>
    <w:rsid w:val="5AE91E90"/>
    <w:rsid w:val="5AEE394A"/>
    <w:rsid w:val="5AEF1C52"/>
    <w:rsid w:val="5AF97ECB"/>
    <w:rsid w:val="5AFC0446"/>
    <w:rsid w:val="5AFD5AA5"/>
    <w:rsid w:val="5AFD5ADF"/>
    <w:rsid w:val="5B014A79"/>
    <w:rsid w:val="5B027845"/>
    <w:rsid w:val="5B083BB3"/>
    <w:rsid w:val="5B0950C2"/>
    <w:rsid w:val="5B0D2022"/>
    <w:rsid w:val="5B265B08"/>
    <w:rsid w:val="5B274AA6"/>
    <w:rsid w:val="5B276D18"/>
    <w:rsid w:val="5B386973"/>
    <w:rsid w:val="5B3A036C"/>
    <w:rsid w:val="5B3C4B1C"/>
    <w:rsid w:val="5B4041A6"/>
    <w:rsid w:val="5B4478E7"/>
    <w:rsid w:val="5B456E93"/>
    <w:rsid w:val="5B4D39BF"/>
    <w:rsid w:val="5B5075CB"/>
    <w:rsid w:val="5B510420"/>
    <w:rsid w:val="5B51112C"/>
    <w:rsid w:val="5B5519AB"/>
    <w:rsid w:val="5B562EDC"/>
    <w:rsid w:val="5B654BB1"/>
    <w:rsid w:val="5B6F05E7"/>
    <w:rsid w:val="5B7273AC"/>
    <w:rsid w:val="5B760581"/>
    <w:rsid w:val="5B770063"/>
    <w:rsid w:val="5B78576C"/>
    <w:rsid w:val="5B79642F"/>
    <w:rsid w:val="5B857E0A"/>
    <w:rsid w:val="5B8A71CF"/>
    <w:rsid w:val="5B8D499C"/>
    <w:rsid w:val="5B953DC6"/>
    <w:rsid w:val="5B9C5318"/>
    <w:rsid w:val="5BAD55B3"/>
    <w:rsid w:val="5BAE5981"/>
    <w:rsid w:val="5BB50E47"/>
    <w:rsid w:val="5BD2071F"/>
    <w:rsid w:val="5BD20B76"/>
    <w:rsid w:val="5BD41B59"/>
    <w:rsid w:val="5BD4669C"/>
    <w:rsid w:val="5BD474F0"/>
    <w:rsid w:val="5BD677BE"/>
    <w:rsid w:val="5BD91F04"/>
    <w:rsid w:val="5BDB2621"/>
    <w:rsid w:val="5BDF5D95"/>
    <w:rsid w:val="5BE82147"/>
    <w:rsid w:val="5BF154A0"/>
    <w:rsid w:val="5BF16A5B"/>
    <w:rsid w:val="5BFE461F"/>
    <w:rsid w:val="5C0E3728"/>
    <w:rsid w:val="5C0F3329"/>
    <w:rsid w:val="5C201C66"/>
    <w:rsid w:val="5C212084"/>
    <w:rsid w:val="5C2123A8"/>
    <w:rsid w:val="5C21769F"/>
    <w:rsid w:val="5C235F50"/>
    <w:rsid w:val="5C3643FE"/>
    <w:rsid w:val="5C396788"/>
    <w:rsid w:val="5C3B496D"/>
    <w:rsid w:val="5C4628AC"/>
    <w:rsid w:val="5C4839F7"/>
    <w:rsid w:val="5C484BDD"/>
    <w:rsid w:val="5C5A1297"/>
    <w:rsid w:val="5C624E9F"/>
    <w:rsid w:val="5C6E4162"/>
    <w:rsid w:val="5C6E6AF1"/>
    <w:rsid w:val="5C76520C"/>
    <w:rsid w:val="5C8766EB"/>
    <w:rsid w:val="5C8A22D8"/>
    <w:rsid w:val="5C9418A6"/>
    <w:rsid w:val="5CA006C7"/>
    <w:rsid w:val="5CA14648"/>
    <w:rsid w:val="5CA42512"/>
    <w:rsid w:val="5CA50026"/>
    <w:rsid w:val="5CA617BB"/>
    <w:rsid w:val="5CB40E2C"/>
    <w:rsid w:val="5CB52971"/>
    <w:rsid w:val="5CBC016A"/>
    <w:rsid w:val="5CC2508E"/>
    <w:rsid w:val="5CC57356"/>
    <w:rsid w:val="5CCF02E3"/>
    <w:rsid w:val="5CD32EEC"/>
    <w:rsid w:val="5CD853D7"/>
    <w:rsid w:val="5CE24DE9"/>
    <w:rsid w:val="5CEB3CAF"/>
    <w:rsid w:val="5CF80352"/>
    <w:rsid w:val="5CF975D1"/>
    <w:rsid w:val="5CFE60C6"/>
    <w:rsid w:val="5D041868"/>
    <w:rsid w:val="5D05763B"/>
    <w:rsid w:val="5D0C015A"/>
    <w:rsid w:val="5D145966"/>
    <w:rsid w:val="5D177B38"/>
    <w:rsid w:val="5D1943AE"/>
    <w:rsid w:val="5D1F7D2F"/>
    <w:rsid w:val="5D373386"/>
    <w:rsid w:val="5D451591"/>
    <w:rsid w:val="5D485594"/>
    <w:rsid w:val="5D4A130C"/>
    <w:rsid w:val="5D4E3041"/>
    <w:rsid w:val="5D4E450D"/>
    <w:rsid w:val="5D537A94"/>
    <w:rsid w:val="5D5E3F06"/>
    <w:rsid w:val="5D616655"/>
    <w:rsid w:val="5D6D6DA8"/>
    <w:rsid w:val="5D6E19A6"/>
    <w:rsid w:val="5D752101"/>
    <w:rsid w:val="5D7A1F6F"/>
    <w:rsid w:val="5D7E41C8"/>
    <w:rsid w:val="5D7F1358"/>
    <w:rsid w:val="5D842B34"/>
    <w:rsid w:val="5D847036"/>
    <w:rsid w:val="5D887B7A"/>
    <w:rsid w:val="5D8B1BC0"/>
    <w:rsid w:val="5D936FE2"/>
    <w:rsid w:val="5D9F6069"/>
    <w:rsid w:val="5DA83728"/>
    <w:rsid w:val="5DA84284"/>
    <w:rsid w:val="5DAA1496"/>
    <w:rsid w:val="5DAA369A"/>
    <w:rsid w:val="5DAB78D0"/>
    <w:rsid w:val="5DB0137F"/>
    <w:rsid w:val="5DB0643F"/>
    <w:rsid w:val="5DBC1DA3"/>
    <w:rsid w:val="5DC82230"/>
    <w:rsid w:val="5DD62D00"/>
    <w:rsid w:val="5DD92690"/>
    <w:rsid w:val="5DD95164"/>
    <w:rsid w:val="5DEC28CF"/>
    <w:rsid w:val="5DED7EE9"/>
    <w:rsid w:val="5DF82EC2"/>
    <w:rsid w:val="5DF87A0F"/>
    <w:rsid w:val="5DFC4AAA"/>
    <w:rsid w:val="5E187FD8"/>
    <w:rsid w:val="5E372725"/>
    <w:rsid w:val="5E3C7E2F"/>
    <w:rsid w:val="5E4748BC"/>
    <w:rsid w:val="5E517203"/>
    <w:rsid w:val="5E543C4C"/>
    <w:rsid w:val="5E5810C5"/>
    <w:rsid w:val="5E59518E"/>
    <w:rsid w:val="5E6126E7"/>
    <w:rsid w:val="5E6301AB"/>
    <w:rsid w:val="5E6737F7"/>
    <w:rsid w:val="5E706136"/>
    <w:rsid w:val="5E737EA8"/>
    <w:rsid w:val="5E753FA4"/>
    <w:rsid w:val="5E7550ED"/>
    <w:rsid w:val="5E782B3A"/>
    <w:rsid w:val="5E8545C5"/>
    <w:rsid w:val="5E876089"/>
    <w:rsid w:val="5E887A43"/>
    <w:rsid w:val="5E8C345B"/>
    <w:rsid w:val="5E8E2D48"/>
    <w:rsid w:val="5E8E2E29"/>
    <w:rsid w:val="5EA455CD"/>
    <w:rsid w:val="5EA7453C"/>
    <w:rsid w:val="5EAA695A"/>
    <w:rsid w:val="5EAF78C6"/>
    <w:rsid w:val="5EB16DF2"/>
    <w:rsid w:val="5EB479F8"/>
    <w:rsid w:val="5EBD5B0D"/>
    <w:rsid w:val="5EC925A8"/>
    <w:rsid w:val="5ECB775B"/>
    <w:rsid w:val="5ED01260"/>
    <w:rsid w:val="5EE46AB9"/>
    <w:rsid w:val="5EE60C28"/>
    <w:rsid w:val="5EE971C5"/>
    <w:rsid w:val="5EEC0A2E"/>
    <w:rsid w:val="5EED7B5E"/>
    <w:rsid w:val="5EF21FFD"/>
    <w:rsid w:val="5EFF6126"/>
    <w:rsid w:val="5F062081"/>
    <w:rsid w:val="5F0C25F1"/>
    <w:rsid w:val="5F143EC1"/>
    <w:rsid w:val="5F1A2B43"/>
    <w:rsid w:val="5F296CFF"/>
    <w:rsid w:val="5F2E2F07"/>
    <w:rsid w:val="5F434264"/>
    <w:rsid w:val="5F441D8B"/>
    <w:rsid w:val="5F487ACD"/>
    <w:rsid w:val="5F5803F6"/>
    <w:rsid w:val="5F6C7358"/>
    <w:rsid w:val="5F726A7B"/>
    <w:rsid w:val="5F745AC5"/>
    <w:rsid w:val="5F750405"/>
    <w:rsid w:val="5F864932"/>
    <w:rsid w:val="5F8A1E93"/>
    <w:rsid w:val="5F9837E5"/>
    <w:rsid w:val="5FA406D7"/>
    <w:rsid w:val="5FB12995"/>
    <w:rsid w:val="5FB42E0A"/>
    <w:rsid w:val="5FB45D88"/>
    <w:rsid w:val="5FB837BB"/>
    <w:rsid w:val="5FC02CBF"/>
    <w:rsid w:val="5FC41C75"/>
    <w:rsid w:val="5FC67564"/>
    <w:rsid w:val="5FD96977"/>
    <w:rsid w:val="5FE03022"/>
    <w:rsid w:val="5FEE499C"/>
    <w:rsid w:val="5FEF5A95"/>
    <w:rsid w:val="5FF27384"/>
    <w:rsid w:val="5FF85648"/>
    <w:rsid w:val="5FFF1DB4"/>
    <w:rsid w:val="60033C5A"/>
    <w:rsid w:val="600357A2"/>
    <w:rsid w:val="600561CC"/>
    <w:rsid w:val="600F24B4"/>
    <w:rsid w:val="60167A2E"/>
    <w:rsid w:val="60172FFB"/>
    <w:rsid w:val="601E25DC"/>
    <w:rsid w:val="60234096"/>
    <w:rsid w:val="603006A1"/>
    <w:rsid w:val="60356977"/>
    <w:rsid w:val="603E67DA"/>
    <w:rsid w:val="604A19DC"/>
    <w:rsid w:val="604F3361"/>
    <w:rsid w:val="605014C8"/>
    <w:rsid w:val="60502191"/>
    <w:rsid w:val="605563A4"/>
    <w:rsid w:val="60652F17"/>
    <w:rsid w:val="60687CFB"/>
    <w:rsid w:val="607A4E61"/>
    <w:rsid w:val="60873BF1"/>
    <w:rsid w:val="60886F21"/>
    <w:rsid w:val="609A4358"/>
    <w:rsid w:val="609C5B02"/>
    <w:rsid w:val="609D33CE"/>
    <w:rsid w:val="60B1016D"/>
    <w:rsid w:val="60B25ACD"/>
    <w:rsid w:val="60BA0556"/>
    <w:rsid w:val="60C23922"/>
    <w:rsid w:val="60C75FD6"/>
    <w:rsid w:val="60E13FDB"/>
    <w:rsid w:val="60E47E85"/>
    <w:rsid w:val="60EC2EEB"/>
    <w:rsid w:val="60ED2940"/>
    <w:rsid w:val="60F2699F"/>
    <w:rsid w:val="60FE7C0E"/>
    <w:rsid w:val="610139B4"/>
    <w:rsid w:val="61023899"/>
    <w:rsid w:val="610A42EA"/>
    <w:rsid w:val="610E2650"/>
    <w:rsid w:val="611B6B1B"/>
    <w:rsid w:val="612420B1"/>
    <w:rsid w:val="61243C22"/>
    <w:rsid w:val="612B1454"/>
    <w:rsid w:val="613242CE"/>
    <w:rsid w:val="61341D88"/>
    <w:rsid w:val="613A344B"/>
    <w:rsid w:val="613B204E"/>
    <w:rsid w:val="613E32FA"/>
    <w:rsid w:val="61447363"/>
    <w:rsid w:val="614E5143"/>
    <w:rsid w:val="615344F4"/>
    <w:rsid w:val="61657B33"/>
    <w:rsid w:val="616C5467"/>
    <w:rsid w:val="61730705"/>
    <w:rsid w:val="61771636"/>
    <w:rsid w:val="617821BF"/>
    <w:rsid w:val="617E7C88"/>
    <w:rsid w:val="618854ED"/>
    <w:rsid w:val="618872FA"/>
    <w:rsid w:val="618945DA"/>
    <w:rsid w:val="61926DDD"/>
    <w:rsid w:val="61987DC9"/>
    <w:rsid w:val="619A1CC6"/>
    <w:rsid w:val="61A24FB0"/>
    <w:rsid w:val="61AD00BB"/>
    <w:rsid w:val="61C44700"/>
    <w:rsid w:val="61DA7EB5"/>
    <w:rsid w:val="61E96916"/>
    <w:rsid w:val="61F03F10"/>
    <w:rsid w:val="61F33CFF"/>
    <w:rsid w:val="61F53810"/>
    <w:rsid w:val="62005985"/>
    <w:rsid w:val="620D1EDD"/>
    <w:rsid w:val="62144A7E"/>
    <w:rsid w:val="621E1FB8"/>
    <w:rsid w:val="62206ADF"/>
    <w:rsid w:val="62245B18"/>
    <w:rsid w:val="622C7A62"/>
    <w:rsid w:val="62364782"/>
    <w:rsid w:val="623A716D"/>
    <w:rsid w:val="623F11E9"/>
    <w:rsid w:val="62416092"/>
    <w:rsid w:val="624A12C9"/>
    <w:rsid w:val="624B4FC5"/>
    <w:rsid w:val="624F2F20"/>
    <w:rsid w:val="625449C2"/>
    <w:rsid w:val="62595B4D"/>
    <w:rsid w:val="626544F2"/>
    <w:rsid w:val="626F711E"/>
    <w:rsid w:val="62731F2B"/>
    <w:rsid w:val="627A42E9"/>
    <w:rsid w:val="627E7362"/>
    <w:rsid w:val="627F407B"/>
    <w:rsid w:val="628379AA"/>
    <w:rsid w:val="62854B94"/>
    <w:rsid w:val="628C5406"/>
    <w:rsid w:val="628D57F7"/>
    <w:rsid w:val="628E28E5"/>
    <w:rsid w:val="62912B66"/>
    <w:rsid w:val="62967742"/>
    <w:rsid w:val="629A2C3C"/>
    <w:rsid w:val="62A12B38"/>
    <w:rsid w:val="62A55F81"/>
    <w:rsid w:val="62AC0373"/>
    <w:rsid w:val="62AE11A6"/>
    <w:rsid w:val="62BB1865"/>
    <w:rsid w:val="62C92CE9"/>
    <w:rsid w:val="62CB013D"/>
    <w:rsid w:val="62D64D0C"/>
    <w:rsid w:val="62DB1E0C"/>
    <w:rsid w:val="62E015E1"/>
    <w:rsid w:val="62E80FB0"/>
    <w:rsid w:val="62EE5586"/>
    <w:rsid w:val="62F63D3A"/>
    <w:rsid w:val="62F743E9"/>
    <w:rsid w:val="62FA2186"/>
    <w:rsid w:val="62FA7330"/>
    <w:rsid w:val="63027F93"/>
    <w:rsid w:val="63065CD5"/>
    <w:rsid w:val="630737FB"/>
    <w:rsid w:val="63075BD2"/>
    <w:rsid w:val="630C2BBF"/>
    <w:rsid w:val="63100901"/>
    <w:rsid w:val="63154DD3"/>
    <w:rsid w:val="63183144"/>
    <w:rsid w:val="63293771"/>
    <w:rsid w:val="632D43FC"/>
    <w:rsid w:val="63367C3C"/>
    <w:rsid w:val="634467FD"/>
    <w:rsid w:val="634560D1"/>
    <w:rsid w:val="63501294"/>
    <w:rsid w:val="63564074"/>
    <w:rsid w:val="635839F5"/>
    <w:rsid w:val="636B5B38"/>
    <w:rsid w:val="637701A9"/>
    <w:rsid w:val="637A089E"/>
    <w:rsid w:val="638718C6"/>
    <w:rsid w:val="638B713B"/>
    <w:rsid w:val="63913B6B"/>
    <w:rsid w:val="63A238D3"/>
    <w:rsid w:val="63A454EE"/>
    <w:rsid w:val="63A50919"/>
    <w:rsid w:val="63AC7DBF"/>
    <w:rsid w:val="63B53F39"/>
    <w:rsid w:val="63BE65AF"/>
    <w:rsid w:val="63C53C64"/>
    <w:rsid w:val="63C5490A"/>
    <w:rsid w:val="63C616CA"/>
    <w:rsid w:val="63CB140E"/>
    <w:rsid w:val="63CC1E35"/>
    <w:rsid w:val="63CD13ED"/>
    <w:rsid w:val="63D23E09"/>
    <w:rsid w:val="63D3192F"/>
    <w:rsid w:val="63D40BE9"/>
    <w:rsid w:val="63DD455C"/>
    <w:rsid w:val="63E0211F"/>
    <w:rsid w:val="63E02ADC"/>
    <w:rsid w:val="63E915C8"/>
    <w:rsid w:val="63EA2375"/>
    <w:rsid w:val="63F4753D"/>
    <w:rsid w:val="63F55E2D"/>
    <w:rsid w:val="63F57AF7"/>
    <w:rsid w:val="63F7575D"/>
    <w:rsid w:val="63F84805"/>
    <w:rsid w:val="63FC0E86"/>
    <w:rsid w:val="64030466"/>
    <w:rsid w:val="64132ACB"/>
    <w:rsid w:val="64265F03"/>
    <w:rsid w:val="642937CB"/>
    <w:rsid w:val="642C609D"/>
    <w:rsid w:val="6431099A"/>
    <w:rsid w:val="64314C21"/>
    <w:rsid w:val="643C13BB"/>
    <w:rsid w:val="64430278"/>
    <w:rsid w:val="64470AED"/>
    <w:rsid w:val="6448464F"/>
    <w:rsid w:val="644A7E43"/>
    <w:rsid w:val="64501074"/>
    <w:rsid w:val="64520EB7"/>
    <w:rsid w:val="64540DD2"/>
    <w:rsid w:val="64673162"/>
    <w:rsid w:val="64701E66"/>
    <w:rsid w:val="64746C6E"/>
    <w:rsid w:val="6475060A"/>
    <w:rsid w:val="6475672D"/>
    <w:rsid w:val="647749B0"/>
    <w:rsid w:val="647A2C0C"/>
    <w:rsid w:val="647C0FE5"/>
    <w:rsid w:val="6484767A"/>
    <w:rsid w:val="64875AB3"/>
    <w:rsid w:val="64890AA8"/>
    <w:rsid w:val="648B193F"/>
    <w:rsid w:val="648B6636"/>
    <w:rsid w:val="64913B03"/>
    <w:rsid w:val="64AE5DCB"/>
    <w:rsid w:val="64AF7253"/>
    <w:rsid w:val="64BE7D39"/>
    <w:rsid w:val="64C96B56"/>
    <w:rsid w:val="64CC6AAA"/>
    <w:rsid w:val="64CD45D0"/>
    <w:rsid w:val="64D23DC0"/>
    <w:rsid w:val="64D25334"/>
    <w:rsid w:val="64DB7571"/>
    <w:rsid w:val="64DD56BD"/>
    <w:rsid w:val="64DE058B"/>
    <w:rsid w:val="64EC56C3"/>
    <w:rsid w:val="64EF27FA"/>
    <w:rsid w:val="64F07E3F"/>
    <w:rsid w:val="64F60653"/>
    <w:rsid w:val="64F8178D"/>
    <w:rsid w:val="64F81AD4"/>
    <w:rsid w:val="64FF0DF3"/>
    <w:rsid w:val="64FF6ADE"/>
    <w:rsid w:val="65052A2B"/>
    <w:rsid w:val="65061B79"/>
    <w:rsid w:val="650B75B8"/>
    <w:rsid w:val="6522491C"/>
    <w:rsid w:val="65230A03"/>
    <w:rsid w:val="65234D38"/>
    <w:rsid w:val="65263489"/>
    <w:rsid w:val="65316F02"/>
    <w:rsid w:val="653725E6"/>
    <w:rsid w:val="65373578"/>
    <w:rsid w:val="65394DAE"/>
    <w:rsid w:val="65516FAF"/>
    <w:rsid w:val="65556AA0"/>
    <w:rsid w:val="65571CD7"/>
    <w:rsid w:val="65585532"/>
    <w:rsid w:val="656C4A7E"/>
    <w:rsid w:val="656E5D73"/>
    <w:rsid w:val="65750EF0"/>
    <w:rsid w:val="65765F2C"/>
    <w:rsid w:val="657A372D"/>
    <w:rsid w:val="657B21CB"/>
    <w:rsid w:val="65803CCB"/>
    <w:rsid w:val="658E29A2"/>
    <w:rsid w:val="658F323F"/>
    <w:rsid w:val="6591141F"/>
    <w:rsid w:val="6593581A"/>
    <w:rsid w:val="65AA7E46"/>
    <w:rsid w:val="65B11204"/>
    <w:rsid w:val="65B22E12"/>
    <w:rsid w:val="65B37C6A"/>
    <w:rsid w:val="65B46034"/>
    <w:rsid w:val="65B732B6"/>
    <w:rsid w:val="65B9705E"/>
    <w:rsid w:val="65C14135"/>
    <w:rsid w:val="65C502FA"/>
    <w:rsid w:val="65D2520A"/>
    <w:rsid w:val="65D976D1"/>
    <w:rsid w:val="65DB4536"/>
    <w:rsid w:val="65DF0A5F"/>
    <w:rsid w:val="65E00DAC"/>
    <w:rsid w:val="65E46075"/>
    <w:rsid w:val="65EF3A9D"/>
    <w:rsid w:val="65F9172A"/>
    <w:rsid w:val="65FD2D91"/>
    <w:rsid w:val="66073482"/>
    <w:rsid w:val="661278A6"/>
    <w:rsid w:val="66152AE3"/>
    <w:rsid w:val="662621EA"/>
    <w:rsid w:val="66281DC9"/>
    <w:rsid w:val="662B6618"/>
    <w:rsid w:val="662E3598"/>
    <w:rsid w:val="6635242D"/>
    <w:rsid w:val="66365D64"/>
    <w:rsid w:val="6642538B"/>
    <w:rsid w:val="664B7E2E"/>
    <w:rsid w:val="66576847"/>
    <w:rsid w:val="66623E0F"/>
    <w:rsid w:val="66636D55"/>
    <w:rsid w:val="666F1757"/>
    <w:rsid w:val="667411B4"/>
    <w:rsid w:val="667F0CDC"/>
    <w:rsid w:val="668B2A7E"/>
    <w:rsid w:val="669156E0"/>
    <w:rsid w:val="66982D7F"/>
    <w:rsid w:val="669B0F98"/>
    <w:rsid w:val="669D3B14"/>
    <w:rsid w:val="66A22A9A"/>
    <w:rsid w:val="66AC711A"/>
    <w:rsid w:val="66AD6114"/>
    <w:rsid w:val="66B30D78"/>
    <w:rsid w:val="66BB1A90"/>
    <w:rsid w:val="66BE0674"/>
    <w:rsid w:val="66C0263F"/>
    <w:rsid w:val="66C32BE9"/>
    <w:rsid w:val="66D103A8"/>
    <w:rsid w:val="66ED33DF"/>
    <w:rsid w:val="66ED3F8F"/>
    <w:rsid w:val="67000C8D"/>
    <w:rsid w:val="67003B39"/>
    <w:rsid w:val="670F2827"/>
    <w:rsid w:val="67114C48"/>
    <w:rsid w:val="671D35ED"/>
    <w:rsid w:val="67231081"/>
    <w:rsid w:val="67247AC8"/>
    <w:rsid w:val="672C55DE"/>
    <w:rsid w:val="673050D1"/>
    <w:rsid w:val="673F2C7A"/>
    <w:rsid w:val="67523C88"/>
    <w:rsid w:val="67557530"/>
    <w:rsid w:val="6760172C"/>
    <w:rsid w:val="67674868"/>
    <w:rsid w:val="676E3E49"/>
    <w:rsid w:val="678B0648"/>
    <w:rsid w:val="678B4AB2"/>
    <w:rsid w:val="678F1E61"/>
    <w:rsid w:val="67900263"/>
    <w:rsid w:val="67901ADF"/>
    <w:rsid w:val="67934BF8"/>
    <w:rsid w:val="67944017"/>
    <w:rsid w:val="67951AD5"/>
    <w:rsid w:val="679B4572"/>
    <w:rsid w:val="679B6BB8"/>
    <w:rsid w:val="67A35898"/>
    <w:rsid w:val="67A4786A"/>
    <w:rsid w:val="67A555D4"/>
    <w:rsid w:val="67AD1C7B"/>
    <w:rsid w:val="67AD6168"/>
    <w:rsid w:val="67B07479"/>
    <w:rsid w:val="67BB124F"/>
    <w:rsid w:val="67C96B70"/>
    <w:rsid w:val="67C972D1"/>
    <w:rsid w:val="67D5211A"/>
    <w:rsid w:val="67E024CE"/>
    <w:rsid w:val="67E1461B"/>
    <w:rsid w:val="67E97973"/>
    <w:rsid w:val="67F457BC"/>
    <w:rsid w:val="680506EC"/>
    <w:rsid w:val="680B5B3B"/>
    <w:rsid w:val="680E23EA"/>
    <w:rsid w:val="68150768"/>
    <w:rsid w:val="6818633F"/>
    <w:rsid w:val="681C2915"/>
    <w:rsid w:val="681D13CB"/>
    <w:rsid w:val="681F6961"/>
    <w:rsid w:val="68400C6C"/>
    <w:rsid w:val="684833D5"/>
    <w:rsid w:val="684A42FE"/>
    <w:rsid w:val="684A4A27"/>
    <w:rsid w:val="684B1423"/>
    <w:rsid w:val="684D1CB0"/>
    <w:rsid w:val="68534824"/>
    <w:rsid w:val="685A617B"/>
    <w:rsid w:val="685E3EBD"/>
    <w:rsid w:val="68610A2F"/>
    <w:rsid w:val="6870672A"/>
    <w:rsid w:val="68751305"/>
    <w:rsid w:val="687A681D"/>
    <w:rsid w:val="687F09E7"/>
    <w:rsid w:val="68805514"/>
    <w:rsid w:val="68831B76"/>
    <w:rsid w:val="68860B24"/>
    <w:rsid w:val="68880F3A"/>
    <w:rsid w:val="688A2F04"/>
    <w:rsid w:val="688F6179"/>
    <w:rsid w:val="6893581B"/>
    <w:rsid w:val="689A50D7"/>
    <w:rsid w:val="68A044D6"/>
    <w:rsid w:val="68A235FA"/>
    <w:rsid w:val="68A64B4D"/>
    <w:rsid w:val="68C6761D"/>
    <w:rsid w:val="68C84876"/>
    <w:rsid w:val="68C857DA"/>
    <w:rsid w:val="68D0468F"/>
    <w:rsid w:val="68D27E27"/>
    <w:rsid w:val="68DF5F07"/>
    <w:rsid w:val="68E343C2"/>
    <w:rsid w:val="68EB39D1"/>
    <w:rsid w:val="68F55EA4"/>
    <w:rsid w:val="68F91E38"/>
    <w:rsid w:val="68F93BE6"/>
    <w:rsid w:val="69074555"/>
    <w:rsid w:val="690773A8"/>
    <w:rsid w:val="691C1682"/>
    <w:rsid w:val="691F7855"/>
    <w:rsid w:val="69351E7F"/>
    <w:rsid w:val="693675AE"/>
    <w:rsid w:val="694835B5"/>
    <w:rsid w:val="6949691B"/>
    <w:rsid w:val="694E2071"/>
    <w:rsid w:val="694E25E0"/>
    <w:rsid w:val="69542EBD"/>
    <w:rsid w:val="695521D2"/>
    <w:rsid w:val="695B03FD"/>
    <w:rsid w:val="696035FF"/>
    <w:rsid w:val="69631CC5"/>
    <w:rsid w:val="696B783B"/>
    <w:rsid w:val="696C4FF4"/>
    <w:rsid w:val="696F6A8A"/>
    <w:rsid w:val="6971090C"/>
    <w:rsid w:val="697A3B33"/>
    <w:rsid w:val="697B6072"/>
    <w:rsid w:val="697C3D03"/>
    <w:rsid w:val="697F7D90"/>
    <w:rsid w:val="69820FE7"/>
    <w:rsid w:val="6995696D"/>
    <w:rsid w:val="6997027C"/>
    <w:rsid w:val="699E2456"/>
    <w:rsid w:val="69A51603"/>
    <w:rsid w:val="69AA03AB"/>
    <w:rsid w:val="69AC2A06"/>
    <w:rsid w:val="69AF0748"/>
    <w:rsid w:val="69B13926"/>
    <w:rsid w:val="69C97A5C"/>
    <w:rsid w:val="69CF4DD2"/>
    <w:rsid w:val="69E36773"/>
    <w:rsid w:val="69EC3738"/>
    <w:rsid w:val="69F726E9"/>
    <w:rsid w:val="69FD48BA"/>
    <w:rsid w:val="6A0665BA"/>
    <w:rsid w:val="6A0B1E23"/>
    <w:rsid w:val="6A141E0F"/>
    <w:rsid w:val="6A292CAD"/>
    <w:rsid w:val="6A293B07"/>
    <w:rsid w:val="6A3864E3"/>
    <w:rsid w:val="6A3D4E3D"/>
    <w:rsid w:val="6A400653"/>
    <w:rsid w:val="6A402F67"/>
    <w:rsid w:val="6A41555B"/>
    <w:rsid w:val="6A472A68"/>
    <w:rsid w:val="6A4A4807"/>
    <w:rsid w:val="6A5079C7"/>
    <w:rsid w:val="6A5920E2"/>
    <w:rsid w:val="6A5A6906"/>
    <w:rsid w:val="6A6908F7"/>
    <w:rsid w:val="6A6C08E0"/>
    <w:rsid w:val="6A733103"/>
    <w:rsid w:val="6A805C71"/>
    <w:rsid w:val="6A90740B"/>
    <w:rsid w:val="6A907E68"/>
    <w:rsid w:val="6A942AC0"/>
    <w:rsid w:val="6A95793E"/>
    <w:rsid w:val="6A995680"/>
    <w:rsid w:val="6A9E4436"/>
    <w:rsid w:val="6AA3205B"/>
    <w:rsid w:val="6AAD6ECD"/>
    <w:rsid w:val="6AB355AD"/>
    <w:rsid w:val="6AB525A4"/>
    <w:rsid w:val="6AB846BB"/>
    <w:rsid w:val="6AB97AD1"/>
    <w:rsid w:val="6ABA7BC6"/>
    <w:rsid w:val="6AC040FE"/>
    <w:rsid w:val="6ACB15B2"/>
    <w:rsid w:val="6ACF1574"/>
    <w:rsid w:val="6AD761A9"/>
    <w:rsid w:val="6ADD7E58"/>
    <w:rsid w:val="6AE14931"/>
    <w:rsid w:val="6AE27BA0"/>
    <w:rsid w:val="6AE508C6"/>
    <w:rsid w:val="6AEA1A38"/>
    <w:rsid w:val="6AEC65C8"/>
    <w:rsid w:val="6AFD2662"/>
    <w:rsid w:val="6AFF6150"/>
    <w:rsid w:val="6B056872"/>
    <w:rsid w:val="6B086362"/>
    <w:rsid w:val="6B0F5943"/>
    <w:rsid w:val="6B171BCA"/>
    <w:rsid w:val="6B1F7C72"/>
    <w:rsid w:val="6B2B718C"/>
    <w:rsid w:val="6B322639"/>
    <w:rsid w:val="6B355066"/>
    <w:rsid w:val="6B3C5136"/>
    <w:rsid w:val="6B3D5B12"/>
    <w:rsid w:val="6B4078AA"/>
    <w:rsid w:val="6B4A0551"/>
    <w:rsid w:val="6B4F3C98"/>
    <w:rsid w:val="6B505374"/>
    <w:rsid w:val="6B5B0907"/>
    <w:rsid w:val="6B6926E0"/>
    <w:rsid w:val="6B6C2865"/>
    <w:rsid w:val="6B722972"/>
    <w:rsid w:val="6B74058C"/>
    <w:rsid w:val="6B7458F1"/>
    <w:rsid w:val="6B7602DC"/>
    <w:rsid w:val="6B7C50FF"/>
    <w:rsid w:val="6B845428"/>
    <w:rsid w:val="6B9B3829"/>
    <w:rsid w:val="6BA219D7"/>
    <w:rsid w:val="6BB805D1"/>
    <w:rsid w:val="6BC229B5"/>
    <w:rsid w:val="6BC524A5"/>
    <w:rsid w:val="6BCA7E8F"/>
    <w:rsid w:val="6BCC61AB"/>
    <w:rsid w:val="6BCC7E83"/>
    <w:rsid w:val="6BCE508C"/>
    <w:rsid w:val="6BCF0B57"/>
    <w:rsid w:val="6BD13D59"/>
    <w:rsid w:val="6BD44496"/>
    <w:rsid w:val="6BD61E2E"/>
    <w:rsid w:val="6BD9765A"/>
    <w:rsid w:val="6BDA7B41"/>
    <w:rsid w:val="6BDF6A4A"/>
    <w:rsid w:val="6C0C1E82"/>
    <w:rsid w:val="6C1D1C78"/>
    <w:rsid w:val="6C206AC0"/>
    <w:rsid w:val="6C2B055A"/>
    <w:rsid w:val="6C2B4A69"/>
    <w:rsid w:val="6C357222"/>
    <w:rsid w:val="6C375151"/>
    <w:rsid w:val="6C4369FF"/>
    <w:rsid w:val="6C4C04D0"/>
    <w:rsid w:val="6C4F0F5D"/>
    <w:rsid w:val="6C547C81"/>
    <w:rsid w:val="6C5506F2"/>
    <w:rsid w:val="6C561AD8"/>
    <w:rsid w:val="6C580C23"/>
    <w:rsid w:val="6C5B679D"/>
    <w:rsid w:val="6C5C6F0B"/>
    <w:rsid w:val="6C5F687F"/>
    <w:rsid w:val="6C636C38"/>
    <w:rsid w:val="6C7001D4"/>
    <w:rsid w:val="6C8E0AE9"/>
    <w:rsid w:val="6C8E46F9"/>
    <w:rsid w:val="6C953C26"/>
    <w:rsid w:val="6C9B7FF9"/>
    <w:rsid w:val="6C9F2CF6"/>
    <w:rsid w:val="6CAD5413"/>
    <w:rsid w:val="6CAF12FD"/>
    <w:rsid w:val="6CB00A5F"/>
    <w:rsid w:val="6CB60C9C"/>
    <w:rsid w:val="6CC16C42"/>
    <w:rsid w:val="6CCB6373"/>
    <w:rsid w:val="6CDA091B"/>
    <w:rsid w:val="6CDE4F35"/>
    <w:rsid w:val="6CEC7715"/>
    <w:rsid w:val="6CFA0D63"/>
    <w:rsid w:val="6D027C78"/>
    <w:rsid w:val="6D0668D1"/>
    <w:rsid w:val="6D0B30C8"/>
    <w:rsid w:val="6D11101F"/>
    <w:rsid w:val="6D1E4485"/>
    <w:rsid w:val="6D30394E"/>
    <w:rsid w:val="6D334BAF"/>
    <w:rsid w:val="6D3616A8"/>
    <w:rsid w:val="6D402FEF"/>
    <w:rsid w:val="6D40363C"/>
    <w:rsid w:val="6D4D3984"/>
    <w:rsid w:val="6D5B4E6F"/>
    <w:rsid w:val="6D612359"/>
    <w:rsid w:val="6D620ACE"/>
    <w:rsid w:val="6D6C75EE"/>
    <w:rsid w:val="6D741A8D"/>
    <w:rsid w:val="6D82013F"/>
    <w:rsid w:val="6D8F2AF2"/>
    <w:rsid w:val="6D9A3598"/>
    <w:rsid w:val="6D9D7506"/>
    <w:rsid w:val="6DA8773A"/>
    <w:rsid w:val="6DB25958"/>
    <w:rsid w:val="6DB34098"/>
    <w:rsid w:val="6DB545B6"/>
    <w:rsid w:val="6DC234BC"/>
    <w:rsid w:val="6DC5053A"/>
    <w:rsid w:val="6DC73C5E"/>
    <w:rsid w:val="6DCE5641"/>
    <w:rsid w:val="6DD4629B"/>
    <w:rsid w:val="6DDB1B0C"/>
    <w:rsid w:val="6DEA1D4F"/>
    <w:rsid w:val="6DF332FA"/>
    <w:rsid w:val="6E021343"/>
    <w:rsid w:val="6E043B72"/>
    <w:rsid w:val="6E076DA5"/>
    <w:rsid w:val="6E0C76AD"/>
    <w:rsid w:val="6E0E12CB"/>
    <w:rsid w:val="6E1374F8"/>
    <w:rsid w:val="6E14501E"/>
    <w:rsid w:val="6E174FAB"/>
    <w:rsid w:val="6E201C15"/>
    <w:rsid w:val="6E37016B"/>
    <w:rsid w:val="6E3C2F36"/>
    <w:rsid w:val="6E3D33F0"/>
    <w:rsid w:val="6E4027F5"/>
    <w:rsid w:val="6E427DDD"/>
    <w:rsid w:val="6E4375A0"/>
    <w:rsid w:val="6E445FFF"/>
    <w:rsid w:val="6E514CED"/>
    <w:rsid w:val="6E5518BE"/>
    <w:rsid w:val="6E57103D"/>
    <w:rsid w:val="6E7218A4"/>
    <w:rsid w:val="6E7764B9"/>
    <w:rsid w:val="6E79491A"/>
    <w:rsid w:val="6E8764B4"/>
    <w:rsid w:val="6E896A7F"/>
    <w:rsid w:val="6E8E6B7E"/>
    <w:rsid w:val="6E9362E6"/>
    <w:rsid w:val="6EA1705B"/>
    <w:rsid w:val="6EA2087C"/>
    <w:rsid w:val="6EAF124A"/>
    <w:rsid w:val="6EB011EB"/>
    <w:rsid w:val="6EB07113"/>
    <w:rsid w:val="6EB20ABF"/>
    <w:rsid w:val="6EB563D5"/>
    <w:rsid w:val="6EB7198E"/>
    <w:rsid w:val="6EC565B0"/>
    <w:rsid w:val="6ECC76A7"/>
    <w:rsid w:val="6ED443D3"/>
    <w:rsid w:val="6EDE0001"/>
    <w:rsid w:val="6EDE105A"/>
    <w:rsid w:val="6EE669BA"/>
    <w:rsid w:val="6EE82B2C"/>
    <w:rsid w:val="6EE92007"/>
    <w:rsid w:val="6EEB2223"/>
    <w:rsid w:val="6EEB3FD1"/>
    <w:rsid w:val="6F032A58"/>
    <w:rsid w:val="6F094457"/>
    <w:rsid w:val="6F106D6B"/>
    <w:rsid w:val="6F121862"/>
    <w:rsid w:val="6F1357CA"/>
    <w:rsid w:val="6F155E56"/>
    <w:rsid w:val="6F16070F"/>
    <w:rsid w:val="6F1866F2"/>
    <w:rsid w:val="6F190B3E"/>
    <w:rsid w:val="6F1B2B08"/>
    <w:rsid w:val="6F225983"/>
    <w:rsid w:val="6F287EEA"/>
    <w:rsid w:val="6F2B4883"/>
    <w:rsid w:val="6F2B6AC3"/>
    <w:rsid w:val="6F337035"/>
    <w:rsid w:val="6F355AEC"/>
    <w:rsid w:val="6F46106B"/>
    <w:rsid w:val="6F4D712F"/>
    <w:rsid w:val="6F54013B"/>
    <w:rsid w:val="6F5C0A2B"/>
    <w:rsid w:val="6F614F41"/>
    <w:rsid w:val="6F631DB9"/>
    <w:rsid w:val="6F6D44A5"/>
    <w:rsid w:val="6F6F4693"/>
    <w:rsid w:val="6F721E5C"/>
    <w:rsid w:val="6F722607"/>
    <w:rsid w:val="6F863187"/>
    <w:rsid w:val="6F9B1E9F"/>
    <w:rsid w:val="6F9B59F7"/>
    <w:rsid w:val="6FA04DBB"/>
    <w:rsid w:val="6FAC3760"/>
    <w:rsid w:val="6FAD74D8"/>
    <w:rsid w:val="6FB03066"/>
    <w:rsid w:val="6FB11309"/>
    <w:rsid w:val="6FB2010C"/>
    <w:rsid w:val="6FB22D40"/>
    <w:rsid w:val="6FB57257"/>
    <w:rsid w:val="6FC0545D"/>
    <w:rsid w:val="6FC14D32"/>
    <w:rsid w:val="6FC565D0"/>
    <w:rsid w:val="6FC86AA4"/>
    <w:rsid w:val="6FDB438A"/>
    <w:rsid w:val="6FE256F3"/>
    <w:rsid w:val="6FEB0892"/>
    <w:rsid w:val="6FEB4A8E"/>
    <w:rsid w:val="6FF67B23"/>
    <w:rsid w:val="6FFC5590"/>
    <w:rsid w:val="6FFD5F81"/>
    <w:rsid w:val="70031466"/>
    <w:rsid w:val="70160FE5"/>
    <w:rsid w:val="7019720C"/>
    <w:rsid w:val="701E6254"/>
    <w:rsid w:val="70224CE1"/>
    <w:rsid w:val="70301DA3"/>
    <w:rsid w:val="70306776"/>
    <w:rsid w:val="70343755"/>
    <w:rsid w:val="703B0F88"/>
    <w:rsid w:val="7041540E"/>
    <w:rsid w:val="704510C0"/>
    <w:rsid w:val="70462679"/>
    <w:rsid w:val="704B11CB"/>
    <w:rsid w:val="70514307"/>
    <w:rsid w:val="705675B4"/>
    <w:rsid w:val="705A140E"/>
    <w:rsid w:val="706202C3"/>
    <w:rsid w:val="7064403B"/>
    <w:rsid w:val="7069134F"/>
    <w:rsid w:val="706D1DD0"/>
    <w:rsid w:val="706F1CC3"/>
    <w:rsid w:val="70713F7D"/>
    <w:rsid w:val="70726901"/>
    <w:rsid w:val="70737854"/>
    <w:rsid w:val="70744F5D"/>
    <w:rsid w:val="70765AD1"/>
    <w:rsid w:val="70772C18"/>
    <w:rsid w:val="707B1DB9"/>
    <w:rsid w:val="707D63BC"/>
    <w:rsid w:val="70815B81"/>
    <w:rsid w:val="70856B87"/>
    <w:rsid w:val="70904E30"/>
    <w:rsid w:val="709158EB"/>
    <w:rsid w:val="70944D11"/>
    <w:rsid w:val="709A56A4"/>
    <w:rsid w:val="709B6453"/>
    <w:rsid w:val="709F5073"/>
    <w:rsid w:val="70A24849"/>
    <w:rsid w:val="70B52AE8"/>
    <w:rsid w:val="70C366B0"/>
    <w:rsid w:val="70C71DFC"/>
    <w:rsid w:val="70CD217F"/>
    <w:rsid w:val="70CD6084"/>
    <w:rsid w:val="70CF1640"/>
    <w:rsid w:val="70D34F28"/>
    <w:rsid w:val="70D527EE"/>
    <w:rsid w:val="70DA42FD"/>
    <w:rsid w:val="70E138DD"/>
    <w:rsid w:val="70E434D0"/>
    <w:rsid w:val="70F03141"/>
    <w:rsid w:val="70F8010E"/>
    <w:rsid w:val="70FC4273"/>
    <w:rsid w:val="70FE3D9A"/>
    <w:rsid w:val="70FE73FA"/>
    <w:rsid w:val="71025602"/>
    <w:rsid w:val="71031AA6"/>
    <w:rsid w:val="71045574"/>
    <w:rsid w:val="710C4966"/>
    <w:rsid w:val="71115C2B"/>
    <w:rsid w:val="71153587"/>
    <w:rsid w:val="711A0B9D"/>
    <w:rsid w:val="711F7E01"/>
    <w:rsid w:val="712471EA"/>
    <w:rsid w:val="71290899"/>
    <w:rsid w:val="7130216F"/>
    <w:rsid w:val="7131029F"/>
    <w:rsid w:val="714355AD"/>
    <w:rsid w:val="71505F58"/>
    <w:rsid w:val="71566784"/>
    <w:rsid w:val="715B5300"/>
    <w:rsid w:val="715F4BD7"/>
    <w:rsid w:val="71691808"/>
    <w:rsid w:val="717175B9"/>
    <w:rsid w:val="71775E53"/>
    <w:rsid w:val="717E107F"/>
    <w:rsid w:val="717E7D8E"/>
    <w:rsid w:val="71824F76"/>
    <w:rsid w:val="71881E8A"/>
    <w:rsid w:val="71915F81"/>
    <w:rsid w:val="71AC5AFB"/>
    <w:rsid w:val="71BA0611"/>
    <w:rsid w:val="71BE3C1E"/>
    <w:rsid w:val="71C34D91"/>
    <w:rsid w:val="71C7226A"/>
    <w:rsid w:val="71CB7B06"/>
    <w:rsid w:val="71D04797"/>
    <w:rsid w:val="71D27F8A"/>
    <w:rsid w:val="71D42430"/>
    <w:rsid w:val="71D46F9E"/>
    <w:rsid w:val="71D85BBB"/>
    <w:rsid w:val="71D91CAC"/>
    <w:rsid w:val="71D96CDC"/>
    <w:rsid w:val="71DB0117"/>
    <w:rsid w:val="71E07D7A"/>
    <w:rsid w:val="71E13595"/>
    <w:rsid w:val="71E82A49"/>
    <w:rsid w:val="71EF3DD8"/>
    <w:rsid w:val="71F744C6"/>
    <w:rsid w:val="71F960CF"/>
    <w:rsid w:val="71FE04BF"/>
    <w:rsid w:val="720346C8"/>
    <w:rsid w:val="720348F7"/>
    <w:rsid w:val="720C2BDC"/>
    <w:rsid w:val="72142C35"/>
    <w:rsid w:val="7215767E"/>
    <w:rsid w:val="721B6FB3"/>
    <w:rsid w:val="721B7B74"/>
    <w:rsid w:val="721D0E2D"/>
    <w:rsid w:val="722D12A9"/>
    <w:rsid w:val="723264CF"/>
    <w:rsid w:val="72335600"/>
    <w:rsid w:val="72442EBA"/>
    <w:rsid w:val="72444159"/>
    <w:rsid w:val="724834E8"/>
    <w:rsid w:val="724E2696"/>
    <w:rsid w:val="725A2B1D"/>
    <w:rsid w:val="725C7B67"/>
    <w:rsid w:val="725E6E9D"/>
    <w:rsid w:val="725F23F1"/>
    <w:rsid w:val="72655E48"/>
    <w:rsid w:val="726A7902"/>
    <w:rsid w:val="726B764B"/>
    <w:rsid w:val="727367B7"/>
    <w:rsid w:val="727C5D93"/>
    <w:rsid w:val="727F1ADE"/>
    <w:rsid w:val="72834FF9"/>
    <w:rsid w:val="7285473C"/>
    <w:rsid w:val="728C47D1"/>
    <w:rsid w:val="728F1117"/>
    <w:rsid w:val="72916C3D"/>
    <w:rsid w:val="72933E55"/>
    <w:rsid w:val="72A40476"/>
    <w:rsid w:val="72AE2DC5"/>
    <w:rsid w:val="72BF37AA"/>
    <w:rsid w:val="72C73F65"/>
    <w:rsid w:val="72C847CA"/>
    <w:rsid w:val="72C9533D"/>
    <w:rsid w:val="72CE2D4E"/>
    <w:rsid w:val="72DD00D4"/>
    <w:rsid w:val="72EB1400"/>
    <w:rsid w:val="72F30DF3"/>
    <w:rsid w:val="72FC4691"/>
    <w:rsid w:val="73002544"/>
    <w:rsid w:val="73044126"/>
    <w:rsid w:val="7315161C"/>
    <w:rsid w:val="731A2391"/>
    <w:rsid w:val="731F06ED"/>
    <w:rsid w:val="731F5D5E"/>
    <w:rsid w:val="73217FC1"/>
    <w:rsid w:val="73261A7B"/>
    <w:rsid w:val="73274DE8"/>
    <w:rsid w:val="732769CB"/>
    <w:rsid w:val="732A015E"/>
    <w:rsid w:val="73395608"/>
    <w:rsid w:val="733A5527"/>
    <w:rsid w:val="734109FD"/>
    <w:rsid w:val="73433B58"/>
    <w:rsid w:val="73441F01"/>
    <w:rsid w:val="73492B25"/>
    <w:rsid w:val="734A12C2"/>
    <w:rsid w:val="734C0DB6"/>
    <w:rsid w:val="735A24C5"/>
    <w:rsid w:val="735C51E9"/>
    <w:rsid w:val="73623F8C"/>
    <w:rsid w:val="73726A6F"/>
    <w:rsid w:val="7373492B"/>
    <w:rsid w:val="737F2F3A"/>
    <w:rsid w:val="73840550"/>
    <w:rsid w:val="738467A2"/>
    <w:rsid w:val="738D1AFA"/>
    <w:rsid w:val="739C556F"/>
    <w:rsid w:val="73A57627"/>
    <w:rsid w:val="73A84841"/>
    <w:rsid w:val="73B12F92"/>
    <w:rsid w:val="73B73B7D"/>
    <w:rsid w:val="73C53042"/>
    <w:rsid w:val="73C87CA0"/>
    <w:rsid w:val="73CB359A"/>
    <w:rsid w:val="73D617AE"/>
    <w:rsid w:val="73D834C2"/>
    <w:rsid w:val="73DA4B0E"/>
    <w:rsid w:val="73E0674B"/>
    <w:rsid w:val="73E159A2"/>
    <w:rsid w:val="73F02900"/>
    <w:rsid w:val="73F7653C"/>
    <w:rsid w:val="73FB3575"/>
    <w:rsid w:val="74000B36"/>
    <w:rsid w:val="740A0DAD"/>
    <w:rsid w:val="741E793C"/>
    <w:rsid w:val="7420471D"/>
    <w:rsid w:val="742547CE"/>
    <w:rsid w:val="74255FDD"/>
    <w:rsid w:val="742E4CA5"/>
    <w:rsid w:val="742E5151"/>
    <w:rsid w:val="743C3019"/>
    <w:rsid w:val="743D5DB4"/>
    <w:rsid w:val="745443C6"/>
    <w:rsid w:val="74646C25"/>
    <w:rsid w:val="74681C20"/>
    <w:rsid w:val="74710967"/>
    <w:rsid w:val="74715F31"/>
    <w:rsid w:val="7481790F"/>
    <w:rsid w:val="7483322B"/>
    <w:rsid w:val="74850AFD"/>
    <w:rsid w:val="74856C75"/>
    <w:rsid w:val="74892BB4"/>
    <w:rsid w:val="74AD69AC"/>
    <w:rsid w:val="74B12793"/>
    <w:rsid w:val="74B370FF"/>
    <w:rsid w:val="74C01A5C"/>
    <w:rsid w:val="74C07CAE"/>
    <w:rsid w:val="74CE4179"/>
    <w:rsid w:val="74CF1797"/>
    <w:rsid w:val="74D472B5"/>
    <w:rsid w:val="74E474F8"/>
    <w:rsid w:val="74E874C8"/>
    <w:rsid w:val="74EF5F37"/>
    <w:rsid w:val="74F470FA"/>
    <w:rsid w:val="74F77B3A"/>
    <w:rsid w:val="74FD1DE4"/>
    <w:rsid w:val="7505015D"/>
    <w:rsid w:val="75095D71"/>
    <w:rsid w:val="750B0F29"/>
    <w:rsid w:val="750C4CA1"/>
    <w:rsid w:val="75120881"/>
    <w:rsid w:val="75157FF9"/>
    <w:rsid w:val="75231B36"/>
    <w:rsid w:val="752A3457"/>
    <w:rsid w:val="752D2092"/>
    <w:rsid w:val="752F06C6"/>
    <w:rsid w:val="75303CDD"/>
    <w:rsid w:val="75306BE1"/>
    <w:rsid w:val="75326157"/>
    <w:rsid w:val="754039AB"/>
    <w:rsid w:val="75471FD6"/>
    <w:rsid w:val="754A06F9"/>
    <w:rsid w:val="754C5D00"/>
    <w:rsid w:val="754D7793"/>
    <w:rsid w:val="75504B8E"/>
    <w:rsid w:val="755D367C"/>
    <w:rsid w:val="755F6134"/>
    <w:rsid w:val="75622B13"/>
    <w:rsid w:val="75662603"/>
    <w:rsid w:val="75733D9B"/>
    <w:rsid w:val="75752846"/>
    <w:rsid w:val="7579628B"/>
    <w:rsid w:val="757E794D"/>
    <w:rsid w:val="758313CC"/>
    <w:rsid w:val="758A396B"/>
    <w:rsid w:val="758D75E2"/>
    <w:rsid w:val="75956A44"/>
    <w:rsid w:val="75A358CD"/>
    <w:rsid w:val="75AF3FAA"/>
    <w:rsid w:val="75B061D1"/>
    <w:rsid w:val="75B415C0"/>
    <w:rsid w:val="75B80369"/>
    <w:rsid w:val="75BB26A8"/>
    <w:rsid w:val="75C21CD7"/>
    <w:rsid w:val="75C906A6"/>
    <w:rsid w:val="75D7744F"/>
    <w:rsid w:val="75D912A7"/>
    <w:rsid w:val="75DC0A8A"/>
    <w:rsid w:val="75DE6F14"/>
    <w:rsid w:val="75E20416"/>
    <w:rsid w:val="75EB321A"/>
    <w:rsid w:val="75EF6850"/>
    <w:rsid w:val="75F2678B"/>
    <w:rsid w:val="75FC22DC"/>
    <w:rsid w:val="760009FB"/>
    <w:rsid w:val="760C2E49"/>
    <w:rsid w:val="7613681E"/>
    <w:rsid w:val="761C213E"/>
    <w:rsid w:val="76202B0C"/>
    <w:rsid w:val="76230604"/>
    <w:rsid w:val="762633E9"/>
    <w:rsid w:val="764E28CE"/>
    <w:rsid w:val="76544B8E"/>
    <w:rsid w:val="765863F0"/>
    <w:rsid w:val="765E152C"/>
    <w:rsid w:val="7660182F"/>
    <w:rsid w:val="766B05BB"/>
    <w:rsid w:val="766F056D"/>
    <w:rsid w:val="766F21D5"/>
    <w:rsid w:val="76817673"/>
    <w:rsid w:val="769211D6"/>
    <w:rsid w:val="76931561"/>
    <w:rsid w:val="769B3351"/>
    <w:rsid w:val="769F7133"/>
    <w:rsid w:val="76A333E3"/>
    <w:rsid w:val="76B13D84"/>
    <w:rsid w:val="76C17E91"/>
    <w:rsid w:val="76C375E1"/>
    <w:rsid w:val="76C71F9A"/>
    <w:rsid w:val="76C81139"/>
    <w:rsid w:val="76D33CC8"/>
    <w:rsid w:val="76DA58B4"/>
    <w:rsid w:val="76E5535F"/>
    <w:rsid w:val="76F33765"/>
    <w:rsid w:val="76F53C3E"/>
    <w:rsid w:val="76FF4ABD"/>
    <w:rsid w:val="77021F22"/>
    <w:rsid w:val="77057998"/>
    <w:rsid w:val="77071BC4"/>
    <w:rsid w:val="770C4410"/>
    <w:rsid w:val="77195B61"/>
    <w:rsid w:val="771C3AE2"/>
    <w:rsid w:val="77234472"/>
    <w:rsid w:val="77291431"/>
    <w:rsid w:val="772B58B2"/>
    <w:rsid w:val="772B653D"/>
    <w:rsid w:val="774575F2"/>
    <w:rsid w:val="774845AD"/>
    <w:rsid w:val="774F754C"/>
    <w:rsid w:val="775B25DF"/>
    <w:rsid w:val="775B6EA5"/>
    <w:rsid w:val="77603EAD"/>
    <w:rsid w:val="77640DC4"/>
    <w:rsid w:val="77644920"/>
    <w:rsid w:val="77646316"/>
    <w:rsid w:val="776F6C59"/>
    <w:rsid w:val="77732DB5"/>
    <w:rsid w:val="77762421"/>
    <w:rsid w:val="777750FD"/>
    <w:rsid w:val="777A4144"/>
    <w:rsid w:val="777B3A38"/>
    <w:rsid w:val="777C610E"/>
    <w:rsid w:val="777E32D7"/>
    <w:rsid w:val="779401E3"/>
    <w:rsid w:val="77A110AB"/>
    <w:rsid w:val="77A83A5D"/>
    <w:rsid w:val="77B92E86"/>
    <w:rsid w:val="77CA54B8"/>
    <w:rsid w:val="77CD4BBB"/>
    <w:rsid w:val="77D23F80"/>
    <w:rsid w:val="77D51A86"/>
    <w:rsid w:val="77D86359"/>
    <w:rsid w:val="77E55684"/>
    <w:rsid w:val="77E84F9F"/>
    <w:rsid w:val="77E85551"/>
    <w:rsid w:val="77F44A04"/>
    <w:rsid w:val="77F959B0"/>
    <w:rsid w:val="780F09F4"/>
    <w:rsid w:val="780F6672"/>
    <w:rsid w:val="781833E4"/>
    <w:rsid w:val="78222FBB"/>
    <w:rsid w:val="78241038"/>
    <w:rsid w:val="782503DD"/>
    <w:rsid w:val="782F3180"/>
    <w:rsid w:val="783B1B25"/>
    <w:rsid w:val="783E6597"/>
    <w:rsid w:val="784269C5"/>
    <w:rsid w:val="78472812"/>
    <w:rsid w:val="784E7AC8"/>
    <w:rsid w:val="785726D7"/>
    <w:rsid w:val="78712C3F"/>
    <w:rsid w:val="787F40D5"/>
    <w:rsid w:val="78846AB4"/>
    <w:rsid w:val="78876C1E"/>
    <w:rsid w:val="788E2CE7"/>
    <w:rsid w:val="788E6130"/>
    <w:rsid w:val="78983E4F"/>
    <w:rsid w:val="789B0078"/>
    <w:rsid w:val="789C4F47"/>
    <w:rsid w:val="78A07BDA"/>
    <w:rsid w:val="78A90480"/>
    <w:rsid w:val="78AF300A"/>
    <w:rsid w:val="78B51032"/>
    <w:rsid w:val="78BA086E"/>
    <w:rsid w:val="78C1636D"/>
    <w:rsid w:val="78C7785D"/>
    <w:rsid w:val="78C91AD4"/>
    <w:rsid w:val="78CE6947"/>
    <w:rsid w:val="78CF3A16"/>
    <w:rsid w:val="78D07480"/>
    <w:rsid w:val="78D27E51"/>
    <w:rsid w:val="78D801D0"/>
    <w:rsid w:val="78DB3308"/>
    <w:rsid w:val="78DD50DE"/>
    <w:rsid w:val="78E71CAD"/>
    <w:rsid w:val="78EC2C56"/>
    <w:rsid w:val="78FA19E0"/>
    <w:rsid w:val="78FF0DA4"/>
    <w:rsid w:val="79022643"/>
    <w:rsid w:val="791907E0"/>
    <w:rsid w:val="791B3704"/>
    <w:rsid w:val="791F624B"/>
    <w:rsid w:val="792A3049"/>
    <w:rsid w:val="792C03AF"/>
    <w:rsid w:val="793242EA"/>
    <w:rsid w:val="79336CA0"/>
    <w:rsid w:val="79347627"/>
    <w:rsid w:val="7934762B"/>
    <w:rsid w:val="793831F9"/>
    <w:rsid w:val="793F5F57"/>
    <w:rsid w:val="79462DC4"/>
    <w:rsid w:val="794856D2"/>
    <w:rsid w:val="79531C8B"/>
    <w:rsid w:val="795B0744"/>
    <w:rsid w:val="795C0EEC"/>
    <w:rsid w:val="795C2A02"/>
    <w:rsid w:val="79612E69"/>
    <w:rsid w:val="79667075"/>
    <w:rsid w:val="7967694A"/>
    <w:rsid w:val="796D1CD6"/>
    <w:rsid w:val="79756352"/>
    <w:rsid w:val="79774114"/>
    <w:rsid w:val="79811327"/>
    <w:rsid w:val="79884CBA"/>
    <w:rsid w:val="79922434"/>
    <w:rsid w:val="799534B7"/>
    <w:rsid w:val="7997722F"/>
    <w:rsid w:val="799E680F"/>
    <w:rsid w:val="79A07CA5"/>
    <w:rsid w:val="79A77140"/>
    <w:rsid w:val="79AC639C"/>
    <w:rsid w:val="79AE4579"/>
    <w:rsid w:val="79AF3739"/>
    <w:rsid w:val="79B64E99"/>
    <w:rsid w:val="79CA4FB6"/>
    <w:rsid w:val="79D27FA4"/>
    <w:rsid w:val="79D46262"/>
    <w:rsid w:val="79D939CD"/>
    <w:rsid w:val="79D96C2F"/>
    <w:rsid w:val="79E0151F"/>
    <w:rsid w:val="79E667DE"/>
    <w:rsid w:val="79ED50A1"/>
    <w:rsid w:val="79EE223C"/>
    <w:rsid w:val="79F44681"/>
    <w:rsid w:val="79F67250"/>
    <w:rsid w:val="79F95BAF"/>
    <w:rsid w:val="79FC31D0"/>
    <w:rsid w:val="7A046680"/>
    <w:rsid w:val="7A06218B"/>
    <w:rsid w:val="7A1263CB"/>
    <w:rsid w:val="7A195E96"/>
    <w:rsid w:val="7A22207C"/>
    <w:rsid w:val="7A255A1C"/>
    <w:rsid w:val="7A293BFF"/>
    <w:rsid w:val="7A322746"/>
    <w:rsid w:val="7A351ED1"/>
    <w:rsid w:val="7A364017"/>
    <w:rsid w:val="7A3D743E"/>
    <w:rsid w:val="7A462A03"/>
    <w:rsid w:val="7A4D493E"/>
    <w:rsid w:val="7A523156"/>
    <w:rsid w:val="7A5E7D4D"/>
    <w:rsid w:val="7A61783D"/>
    <w:rsid w:val="7A6335B5"/>
    <w:rsid w:val="7A6B4E3B"/>
    <w:rsid w:val="7A6D61E2"/>
    <w:rsid w:val="7A794B87"/>
    <w:rsid w:val="7A8265E1"/>
    <w:rsid w:val="7A82780E"/>
    <w:rsid w:val="7A843580"/>
    <w:rsid w:val="7A855718"/>
    <w:rsid w:val="7A8F5D59"/>
    <w:rsid w:val="7A910231"/>
    <w:rsid w:val="7A9C0875"/>
    <w:rsid w:val="7A9D1299"/>
    <w:rsid w:val="7AA137B0"/>
    <w:rsid w:val="7AA91CB5"/>
    <w:rsid w:val="7ABB544E"/>
    <w:rsid w:val="7AC2392B"/>
    <w:rsid w:val="7AC75644"/>
    <w:rsid w:val="7AD24E4E"/>
    <w:rsid w:val="7AD718AD"/>
    <w:rsid w:val="7AE37AA5"/>
    <w:rsid w:val="7AEF309B"/>
    <w:rsid w:val="7AF11D6B"/>
    <w:rsid w:val="7AF320CB"/>
    <w:rsid w:val="7AF366E7"/>
    <w:rsid w:val="7AF95CC7"/>
    <w:rsid w:val="7AFA1F0E"/>
    <w:rsid w:val="7B015B51"/>
    <w:rsid w:val="7B09196A"/>
    <w:rsid w:val="7B0E58DF"/>
    <w:rsid w:val="7B161DB5"/>
    <w:rsid w:val="7B166879"/>
    <w:rsid w:val="7B175556"/>
    <w:rsid w:val="7B183FF5"/>
    <w:rsid w:val="7B18439F"/>
    <w:rsid w:val="7B1D4FA3"/>
    <w:rsid w:val="7B2C04DB"/>
    <w:rsid w:val="7B2C7B18"/>
    <w:rsid w:val="7B30077D"/>
    <w:rsid w:val="7B302174"/>
    <w:rsid w:val="7B30343B"/>
    <w:rsid w:val="7B312362"/>
    <w:rsid w:val="7B377AE0"/>
    <w:rsid w:val="7B3B62E0"/>
    <w:rsid w:val="7B4412F3"/>
    <w:rsid w:val="7B457E10"/>
    <w:rsid w:val="7B486307"/>
    <w:rsid w:val="7B4A3C39"/>
    <w:rsid w:val="7B4B45AE"/>
    <w:rsid w:val="7B5357E3"/>
    <w:rsid w:val="7B6475E5"/>
    <w:rsid w:val="7B686D42"/>
    <w:rsid w:val="7B6E0EB3"/>
    <w:rsid w:val="7B841746"/>
    <w:rsid w:val="7B85453D"/>
    <w:rsid w:val="7B8A307E"/>
    <w:rsid w:val="7B8F4D72"/>
    <w:rsid w:val="7B915F00"/>
    <w:rsid w:val="7B931C78"/>
    <w:rsid w:val="7B946C20"/>
    <w:rsid w:val="7B963516"/>
    <w:rsid w:val="7B9F23CB"/>
    <w:rsid w:val="7BA31FD8"/>
    <w:rsid w:val="7BA84891"/>
    <w:rsid w:val="7BA875A6"/>
    <w:rsid w:val="7BAF26F5"/>
    <w:rsid w:val="7BB15291"/>
    <w:rsid w:val="7BB16FC0"/>
    <w:rsid w:val="7BB73BB8"/>
    <w:rsid w:val="7BB8348D"/>
    <w:rsid w:val="7BBC5383"/>
    <w:rsid w:val="7BBF2A6D"/>
    <w:rsid w:val="7BC23531"/>
    <w:rsid w:val="7BCA4977"/>
    <w:rsid w:val="7BD746AB"/>
    <w:rsid w:val="7BDB1491"/>
    <w:rsid w:val="7BEA5DA0"/>
    <w:rsid w:val="7BEB19FB"/>
    <w:rsid w:val="7BF15121"/>
    <w:rsid w:val="7BFA5853"/>
    <w:rsid w:val="7BFB3DF5"/>
    <w:rsid w:val="7C012E8A"/>
    <w:rsid w:val="7C036DFE"/>
    <w:rsid w:val="7C046174"/>
    <w:rsid w:val="7C1A5DD3"/>
    <w:rsid w:val="7C1D4129"/>
    <w:rsid w:val="7C1F4D9F"/>
    <w:rsid w:val="7C251BA1"/>
    <w:rsid w:val="7C2A0AE2"/>
    <w:rsid w:val="7C2A3F6B"/>
    <w:rsid w:val="7C2B0102"/>
    <w:rsid w:val="7C34060A"/>
    <w:rsid w:val="7C3A6597"/>
    <w:rsid w:val="7C3B5358"/>
    <w:rsid w:val="7C4F025D"/>
    <w:rsid w:val="7C4F208D"/>
    <w:rsid w:val="7C5E52E1"/>
    <w:rsid w:val="7C625EE5"/>
    <w:rsid w:val="7C6B49A3"/>
    <w:rsid w:val="7C743857"/>
    <w:rsid w:val="7C811837"/>
    <w:rsid w:val="7C874BDA"/>
    <w:rsid w:val="7C8B1751"/>
    <w:rsid w:val="7C914053"/>
    <w:rsid w:val="7C947A56"/>
    <w:rsid w:val="7CAA649D"/>
    <w:rsid w:val="7CAE63AC"/>
    <w:rsid w:val="7CB933A5"/>
    <w:rsid w:val="7CBB3234"/>
    <w:rsid w:val="7CC75E49"/>
    <w:rsid w:val="7CD32A24"/>
    <w:rsid w:val="7CD715AE"/>
    <w:rsid w:val="7CDA138E"/>
    <w:rsid w:val="7CDB282C"/>
    <w:rsid w:val="7CDC6DB3"/>
    <w:rsid w:val="7CE54755"/>
    <w:rsid w:val="7CE64029"/>
    <w:rsid w:val="7CE65DD7"/>
    <w:rsid w:val="7CE90E7F"/>
    <w:rsid w:val="7CED6E6C"/>
    <w:rsid w:val="7CF15C44"/>
    <w:rsid w:val="7CF62BFD"/>
    <w:rsid w:val="7CFC232F"/>
    <w:rsid w:val="7CFC55FB"/>
    <w:rsid w:val="7D0050EB"/>
    <w:rsid w:val="7D0239FF"/>
    <w:rsid w:val="7D034197"/>
    <w:rsid w:val="7D085867"/>
    <w:rsid w:val="7D0B0446"/>
    <w:rsid w:val="7D120FFA"/>
    <w:rsid w:val="7D16493A"/>
    <w:rsid w:val="7D221962"/>
    <w:rsid w:val="7D2E0D63"/>
    <w:rsid w:val="7D2F59D0"/>
    <w:rsid w:val="7D3832F6"/>
    <w:rsid w:val="7D3A0E5D"/>
    <w:rsid w:val="7D3D0728"/>
    <w:rsid w:val="7D3F20B7"/>
    <w:rsid w:val="7D3F43EB"/>
    <w:rsid w:val="7D40373A"/>
    <w:rsid w:val="7D44191B"/>
    <w:rsid w:val="7D4A2ADA"/>
    <w:rsid w:val="7D5947DF"/>
    <w:rsid w:val="7D5E40CD"/>
    <w:rsid w:val="7D693BED"/>
    <w:rsid w:val="7D79188F"/>
    <w:rsid w:val="7D800514"/>
    <w:rsid w:val="7D874B6A"/>
    <w:rsid w:val="7D94748A"/>
    <w:rsid w:val="7D947A81"/>
    <w:rsid w:val="7D9B6972"/>
    <w:rsid w:val="7DA57A41"/>
    <w:rsid w:val="7DA77BBB"/>
    <w:rsid w:val="7DC13616"/>
    <w:rsid w:val="7DC5207A"/>
    <w:rsid w:val="7DD105CE"/>
    <w:rsid w:val="7DD520D4"/>
    <w:rsid w:val="7DE70059"/>
    <w:rsid w:val="7DEA43E8"/>
    <w:rsid w:val="7DF02CFD"/>
    <w:rsid w:val="7DF82266"/>
    <w:rsid w:val="7DFC0875"/>
    <w:rsid w:val="7DFC2379"/>
    <w:rsid w:val="7E1225CB"/>
    <w:rsid w:val="7E2D6933"/>
    <w:rsid w:val="7E385608"/>
    <w:rsid w:val="7E3B32BD"/>
    <w:rsid w:val="7E462FD2"/>
    <w:rsid w:val="7E53749D"/>
    <w:rsid w:val="7E5537C2"/>
    <w:rsid w:val="7E5751DF"/>
    <w:rsid w:val="7E5E1B1E"/>
    <w:rsid w:val="7E617E0B"/>
    <w:rsid w:val="7E63024B"/>
    <w:rsid w:val="7E630ABC"/>
    <w:rsid w:val="7E6434B0"/>
    <w:rsid w:val="7E695E9C"/>
    <w:rsid w:val="7E6E5359"/>
    <w:rsid w:val="7E724AC4"/>
    <w:rsid w:val="7E7318ED"/>
    <w:rsid w:val="7E73561D"/>
    <w:rsid w:val="7E8162CE"/>
    <w:rsid w:val="7E853A34"/>
    <w:rsid w:val="7E8F56B0"/>
    <w:rsid w:val="7E991353"/>
    <w:rsid w:val="7E9E02D1"/>
    <w:rsid w:val="7E9F46EF"/>
    <w:rsid w:val="7EA30424"/>
    <w:rsid w:val="7EA34F12"/>
    <w:rsid w:val="7EA6494A"/>
    <w:rsid w:val="7EA91A46"/>
    <w:rsid w:val="7EB10D93"/>
    <w:rsid w:val="7EBB6559"/>
    <w:rsid w:val="7EC038E1"/>
    <w:rsid w:val="7EC11FCF"/>
    <w:rsid w:val="7ECB2067"/>
    <w:rsid w:val="7ED61F98"/>
    <w:rsid w:val="7ED95BF4"/>
    <w:rsid w:val="7EDA47E5"/>
    <w:rsid w:val="7EE06F82"/>
    <w:rsid w:val="7EE44EFE"/>
    <w:rsid w:val="7EE97D42"/>
    <w:rsid w:val="7EF1133C"/>
    <w:rsid w:val="7EF77212"/>
    <w:rsid w:val="7EFA3128"/>
    <w:rsid w:val="7EFC0266"/>
    <w:rsid w:val="7EFE335A"/>
    <w:rsid w:val="7F013924"/>
    <w:rsid w:val="7F0927E2"/>
    <w:rsid w:val="7F0D2AFF"/>
    <w:rsid w:val="7F181AE4"/>
    <w:rsid w:val="7F1E3156"/>
    <w:rsid w:val="7F203823"/>
    <w:rsid w:val="7F210F90"/>
    <w:rsid w:val="7F2B47D0"/>
    <w:rsid w:val="7F320DCA"/>
    <w:rsid w:val="7F36100B"/>
    <w:rsid w:val="7F366250"/>
    <w:rsid w:val="7F385010"/>
    <w:rsid w:val="7F3A3964"/>
    <w:rsid w:val="7F427C3D"/>
    <w:rsid w:val="7F450224"/>
    <w:rsid w:val="7F475253"/>
    <w:rsid w:val="7F4C21A5"/>
    <w:rsid w:val="7F537C7C"/>
    <w:rsid w:val="7F57421C"/>
    <w:rsid w:val="7F5A3979"/>
    <w:rsid w:val="7F5D1102"/>
    <w:rsid w:val="7F5F03A1"/>
    <w:rsid w:val="7F787239"/>
    <w:rsid w:val="7F7C0DC0"/>
    <w:rsid w:val="7F817B02"/>
    <w:rsid w:val="7F8B73C1"/>
    <w:rsid w:val="7F8F5EB7"/>
    <w:rsid w:val="7F9703BE"/>
    <w:rsid w:val="7F995383"/>
    <w:rsid w:val="7F9E2209"/>
    <w:rsid w:val="7FA05511"/>
    <w:rsid w:val="7FC11F90"/>
    <w:rsid w:val="7FC263FF"/>
    <w:rsid w:val="7FC85B26"/>
    <w:rsid w:val="7FCB7C32"/>
    <w:rsid w:val="7FCC5B5F"/>
    <w:rsid w:val="7FDB5D4A"/>
    <w:rsid w:val="7FDE1612"/>
    <w:rsid w:val="7FE47E50"/>
    <w:rsid w:val="7FE72592"/>
    <w:rsid w:val="7FF20847"/>
    <w:rsid w:val="7FF54543"/>
    <w:rsid w:val="7FF872B6"/>
    <w:rsid w:val="7FF9287A"/>
    <w:rsid w:val="7FFB18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ocked="1"/>
    <w:lsdException w:qFormat="1" w:unhideWhenUsed="0" w:uiPriority="9" w:semiHidden="0" w:name="heading 3" w:locked="1"/>
    <w:lsdException w:qFormat="1" w:unhideWhenUsed="0" w:uiPriority="9" w:semiHidden="0" w:name="heading 4" w:locked="1"/>
    <w:lsdException w:qFormat="1" w:unhideWhenUsed="0" w:uiPriority="0" w:semiHidden="0" w:name="heading 5" w:locked="1"/>
    <w:lsdException w:qFormat="1" w:unhideWhenUsed="0" w:uiPriority="0" w:semiHidden="0" w:name="heading 6" w:locked="1"/>
    <w:lsdException w:qFormat="1" w:unhideWhenUsed="0" w:uiPriority="0" w:semiHidden="0" w:name="heading 7" w:locked="1"/>
    <w:lsdException w:qFormat="1" w:unhideWhenUsed="0" w:uiPriority="0" w:semiHidden="0" w:name="heading 8" w:locked="1"/>
    <w:lsdException w:qFormat="1" w:unhideWhenUsed="0" w:uiPriority="0" w:semiHidden="0" w:name="heading 9" w:locked="1"/>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qFormat="1" w:unhideWhenUsed="0" w:uiPriority="0" w:semiHidden="0" w:name="toc 4" w:locked="1"/>
    <w:lsdException w:qFormat="1" w:unhideWhenUsed="0" w:uiPriority="0" w:semiHidden="0" w:name="toc 5" w:locked="1"/>
    <w:lsdException w:qFormat="1" w:unhideWhenUsed="0" w:uiPriority="0" w:semiHidden="0" w:name="toc 6" w:locked="1"/>
    <w:lsdException w:qFormat="1" w:unhideWhenUsed="0" w:uiPriority="0" w:semiHidden="0" w:name="toc 7" w:locked="1"/>
    <w:lsdException w:qFormat="1" w:unhideWhenUsed="0" w:uiPriority="0" w:semiHidden="0" w:name="toc 8" w:locked="1"/>
    <w:lsdException w:qFormat="1" w:unhideWhenUsed="0" w:uiPriority="0" w:semiHidden="0" w:name="toc 9" w:locked="1"/>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ocked="1"/>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ocked="1"/>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ocked="1"/>
    <w:lsdException w:qFormat="1" w:unhideWhenUsed="0" w:uiPriority="0" w:semiHidden="0" w:name="Emphasis" w:locked="1"/>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1"/>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4"/>
    <w:link w:val="53"/>
    <w:qFormat/>
    <w:locked/>
    <w:uiPriority w:val="99"/>
    <w:pPr>
      <w:keepNext/>
      <w:keepLines/>
      <w:spacing w:before="260" w:after="260" w:line="416" w:lineRule="auto"/>
      <w:outlineLvl w:val="1"/>
    </w:pPr>
    <w:rPr>
      <w:rFonts w:ascii="等线 Light" w:hAnsi="等线 Light" w:eastAsia="等线 Light"/>
      <w:b/>
      <w:bCs/>
      <w:sz w:val="32"/>
      <w:szCs w:val="32"/>
    </w:rPr>
  </w:style>
  <w:style w:type="paragraph" w:styleId="5">
    <w:name w:val="heading 3"/>
    <w:basedOn w:val="1"/>
    <w:next w:val="1"/>
    <w:link w:val="54"/>
    <w:qFormat/>
    <w:locked/>
    <w:uiPriority w:val="9"/>
    <w:pPr>
      <w:keepNext/>
      <w:keepLines/>
      <w:spacing w:before="260" w:after="260" w:line="416" w:lineRule="auto"/>
      <w:outlineLvl w:val="2"/>
    </w:pPr>
    <w:rPr>
      <w:b/>
      <w:bCs/>
      <w:sz w:val="32"/>
      <w:szCs w:val="32"/>
    </w:rPr>
  </w:style>
  <w:style w:type="paragraph" w:styleId="6">
    <w:name w:val="heading 4"/>
    <w:basedOn w:val="1"/>
    <w:next w:val="1"/>
    <w:link w:val="55"/>
    <w:qFormat/>
    <w:locked/>
    <w:uiPriority w:val="9"/>
    <w:pPr>
      <w:keepNext/>
      <w:keepLines/>
      <w:spacing w:before="280" w:after="290" w:line="376" w:lineRule="auto"/>
      <w:outlineLvl w:val="3"/>
    </w:pPr>
    <w:rPr>
      <w:rFonts w:ascii="等线 Light" w:hAnsi="等线 Light" w:eastAsia="等线 Light"/>
      <w:b/>
      <w:bCs/>
      <w:sz w:val="28"/>
      <w:szCs w:val="28"/>
    </w:rPr>
  </w:style>
  <w:style w:type="paragraph" w:styleId="7">
    <w:name w:val="heading 5"/>
    <w:basedOn w:val="1"/>
    <w:next w:val="1"/>
    <w:link w:val="56"/>
    <w:qFormat/>
    <w:locked/>
    <w:uiPriority w:val="0"/>
    <w:pPr>
      <w:keepNext/>
      <w:keepLines/>
      <w:spacing w:before="280" w:after="290" w:line="376" w:lineRule="auto"/>
      <w:outlineLvl w:val="4"/>
    </w:pPr>
    <w:rPr>
      <w:b/>
      <w:bCs/>
      <w:sz w:val="28"/>
      <w:szCs w:val="28"/>
    </w:rPr>
  </w:style>
  <w:style w:type="paragraph" w:styleId="8">
    <w:name w:val="heading 6"/>
    <w:basedOn w:val="1"/>
    <w:next w:val="1"/>
    <w:link w:val="128"/>
    <w:qFormat/>
    <w:locked/>
    <w:uiPriority w:val="0"/>
    <w:pPr>
      <w:keepNext/>
      <w:keepLines/>
      <w:tabs>
        <w:tab w:val="left" w:pos="425"/>
        <w:tab w:val="left" w:pos="2520"/>
      </w:tabs>
      <w:adjustRightInd w:val="0"/>
      <w:spacing w:before="240" w:after="64" w:line="320" w:lineRule="atLeast"/>
      <w:ind w:left="425" w:hanging="420"/>
      <w:textAlignment w:val="baseline"/>
      <w:outlineLvl w:val="5"/>
    </w:pPr>
    <w:rPr>
      <w:rFonts w:ascii="Arial" w:hAnsi="Arial" w:eastAsia="黑体"/>
      <w:b/>
      <w:kern w:val="0"/>
      <w:sz w:val="24"/>
      <w:szCs w:val="20"/>
    </w:rPr>
  </w:style>
  <w:style w:type="paragraph" w:styleId="9">
    <w:name w:val="heading 7"/>
    <w:basedOn w:val="1"/>
    <w:next w:val="1"/>
    <w:link w:val="129"/>
    <w:qFormat/>
    <w:locked/>
    <w:uiPriority w:val="0"/>
    <w:pPr>
      <w:keepNext/>
      <w:keepLines/>
      <w:tabs>
        <w:tab w:val="left" w:pos="425"/>
        <w:tab w:val="left" w:pos="2940"/>
      </w:tabs>
      <w:adjustRightInd w:val="0"/>
      <w:spacing w:before="240" w:after="64" w:line="320" w:lineRule="atLeast"/>
      <w:ind w:left="425" w:hanging="420"/>
      <w:textAlignment w:val="baseline"/>
      <w:outlineLvl w:val="6"/>
    </w:pPr>
    <w:rPr>
      <w:b/>
      <w:kern w:val="0"/>
      <w:sz w:val="24"/>
      <w:szCs w:val="20"/>
    </w:rPr>
  </w:style>
  <w:style w:type="paragraph" w:styleId="10">
    <w:name w:val="heading 8"/>
    <w:basedOn w:val="1"/>
    <w:next w:val="1"/>
    <w:link w:val="130"/>
    <w:qFormat/>
    <w:locked/>
    <w:uiPriority w:val="0"/>
    <w:pPr>
      <w:keepNext/>
      <w:keepLines/>
      <w:tabs>
        <w:tab w:val="left" w:pos="425"/>
        <w:tab w:val="left" w:pos="3360"/>
      </w:tabs>
      <w:adjustRightInd w:val="0"/>
      <w:spacing w:before="240" w:after="64" w:line="320" w:lineRule="atLeast"/>
      <w:ind w:left="425" w:hanging="420"/>
      <w:textAlignment w:val="baseline"/>
      <w:outlineLvl w:val="7"/>
    </w:pPr>
    <w:rPr>
      <w:rFonts w:ascii="Arial" w:hAnsi="Arial" w:eastAsia="黑体"/>
      <w:kern w:val="0"/>
      <w:sz w:val="24"/>
      <w:szCs w:val="20"/>
    </w:rPr>
  </w:style>
  <w:style w:type="paragraph" w:styleId="11">
    <w:name w:val="heading 9"/>
    <w:basedOn w:val="1"/>
    <w:next w:val="1"/>
    <w:link w:val="131"/>
    <w:qFormat/>
    <w:locked/>
    <w:uiPriority w:val="0"/>
    <w:pPr>
      <w:keepNext/>
      <w:keepLines/>
      <w:tabs>
        <w:tab w:val="left" w:pos="425"/>
        <w:tab w:val="left" w:pos="3780"/>
      </w:tabs>
      <w:adjustRightInd w:val="0"/>
      <w:spacing w:before="240" w:after="64" w:line="320" w:lineRule="atLeast"/>
      <w:ind w:left="425" w:hanging="420"/>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57"/>
    <w:qFormat/>
    <w:uiPriority w:val="0"/>
    <w:pPr>
      <w:adjustRightInd w:val="0"/>
      <w:spacing w:line="300" w:lineRule="auto"/>
      <w:ind w:firstLine="480"/>
    </w:pPr>
    <w:rPr>
      <w:sz w:val="24"/>
      <w:szCs w:val="20"/>
    </w:rPr>
  </w:style>
  <w:style w:type="paragraph" w:styleId="12">
    <w:name w:val="toc 7"/>
    <w:basedOn w:val="1"/>
    <w:next w:val="1"/>
    <w:qFormat/>
    <w:locked/>
    <w:uiPriority w:val="0"/>
    <w:pPr>
      <w:ind w:left="1260"/>
      <w:jc w:val="left"/>
    </w:pPr>
    <w:rPr>
      <w:sz w:val="18"/>
      <w:szCs w:val="18"/>
    </w:rPr>
  </w:style>
  <w:style w:type="paragraph" w:styleId="13">
    <w:name w:val="caption"/>
    <w:basedOn w:val="1"/>
    <w:next w:val="1"/>
    <w:link w:val="58"/>
    <w:qFormat/>
    <w:locked/>
    <w:uiPriority w:val="0"/>
    <w:rPr>
      <w:rFonts w:ascii="Arial" w:hAnsi="Arial" w:eastAsia="黑体" w:cs="Arial"/>
      <w:sz w:val="20"/>
      <w:szCs w:val="20"/>
    </w:rPr>
  </w:style>
  <w:style w:type="paragraph" w:styleId="14">
    <w:name w:val="Document Map"/>
    <w:basedOn w:val="1"/>
    <w:link w:val="59"/>
    <w:qFormat/>
    <w:uiPriority w:val="0"/>
    <w:rPr>
      <w:rFonts w:ascii="宋体"/>
      <w:sz w:val="18"/>
      <w:szCs w:val="18"/>
    </w:rPr>
  </w:style>
  <w:style w:type="paragraph" w:styleId="15">
    <w:name w:val="annotation text"/>
    <w:basedOn w:val="1"/>
    <w:link w:val="60"/>
    <w:qFormat/>
    <w:uiPriority w:val="0"/>
    <w:pPr>
      <w:jc w:val="left"/>
    </w:pPr>
    <w:rPr>
      <w:kern w:val="0"/>
      <w:sz w:val="24"/>
      <w:szCs w:val="20"/>
    </w:rPr>
  </w:style>
  <w:style w:type="paragraph" w:styleId="16">
    <w:name w:val="Body Text 3"/>
    <w:basedOn w:val="1"/>
    <w:link w:val="132"/>
    <w:qFormat/>
    <w:uiPriority w:val="0"/>
    <w:rPr>
      <w:b/>
      <w:bCs/>
      <w:sz w:val="28"/>
      <w:szCs w:val="28"/>
    </w:rPr>
  </w:style>
  <w:style w:type="paragraph" w:styleId="17">
    <w:name w:val="Body Text"/>
    <w:basedOn w:val="1"/>
    <w:link w:val="61"/>
    <w:qFormat/>
    <w:uiPriority w:val="0"/>
    <w:pPr>
      <w:widowControl/>
      <w:snapToGrid w:val="0"/>
      <w:spacing w:before="60" w:after="160" w:line="259" w:lineRule="auto"/>
      <w:ind w:right="113"/>
    </w:pPr>
    <w:rPr>
      <w:kern w:val="0"/>
      <w:sz w:val="18"/>
      <w:szCs w:val="20"/>
    </w:rPr>
  </w:style>
  <w:style w:type="paragraph" w:styleId="18">
    <w:name w:val="Body Text Indent"/>
    <w:basedOn w:val="1"/>
    <w:next w:val="19"/>
    <w:link w:val="62"/>
    <w:qFormat/>
    <w:uiPriority w:val="0"/>
    <w:pPr>
      <w:spacing w:after="120"/>
      <w:ind w:left="420" w:leftChars="200"/>
    </w:pPr>
    <w:rPr>
      <w:kern w:val="0"/>
      <w:sz w:val="24"/>
    </w:rPr>
  </w:style>
  <w:style w:type="paragraph" w:styleId="19">
    <w:name w:val="Body Text Indent 2"/>
    <w:basedOn w:val="1"/>
    <w:link w:val="65"/>
    <w:qFormat/>
    <w:uiPriority w:val="0"/>
    <w:pPr>
      <w:spacing w:after="120" w:line="480" w:lineRule="auto"/>
      <w:ind w:left="420" w:leftChars="200"/>
    </w:pPr>
  </w:style>
  <w:style w:type="paragraph" w:styleId="20">
    <w:name w:val="HTML Address"/>
    <w:basedOn w:val="1"/>
    <w:link w:val="224"/>
    <w:qFormat/>
    <w:uiPriority w:val="0"/>
    <w:rPr>
      <w:i/>
      <w:iCs/>
    </w:rPr>
  </w:style>
  <w:style w:type="paragraph" w:styleId="21">
    <w:name w:val="toc 5"/>
    <w:basedOn w:val="1"/>
    <w:next w:val="1"/>
    <w:qFormat/>
    <w:locked/>
    <w:uiPriority w:val="0"/>
    <w:pPr>
      <w:ind w:left="840"/>
      <w:jc w:val="left"/>
    </w:pPr>
    <w:rPr>
      <w:sz w:val="18"/>
      <w:szCs w:val="18"/>
    </w:rPr>
  </w:style>
  <w:style w:type="paragraph" w:styleId="22">
    <w:name w:val="toc 3"/>
    <w:basedOn w:val="1"/>
    <w:next w:val="1"/>
    <w:qFormat/>
    <w:locked/>
    <w:uiPriority w:val="39"/>
    <w:pPr>
      <w:ind w:left="420"/>
      <w:jc w:val="left"/>
    </w:pPr>
    <w:rPr>
      <w:i/>
      <w:iCs/>
      <w:sz w:val="20"/>
      <w:szCs w:val="20"/>
    </w:rPr>
  </w:style>
  <w:style w:type="paragraph" w:styleId="23">
    <w:name w:val="Plain Text"/>
    <w:basedOn w:val="1"/>
    <w:link w:val="63"/>
    <w:qFormat/>
    <w:uiPriority w:val="0"/>
    <w:rPr>
      <w:rFonts w:ascii="宋体" w:hAnsi="Courier New"/>
      <w:szCs w:val="21"/>
    </w:rPr>
  </w:style>
  <w:style w:type="paragraph" w:styleId="24">
    <w:name w:val="toc 8"/>
    <w:basedOn w:val="1"/>
    <w:next w:val="1"/>
    <w:qFormat/>
    <w:locked/>
    <w:uiPriority w:val="0"/>
    <w:pPr>
      <w:ind w:left="1470"/>
      <w:jc w:val="left"/>
    </w:pPr>
    <w:rPr>
      <w:sz w:val="18"/>
      <w:szCs w:val="18"/>
    </w:rPr>
  </w:style>
  <w:style w:type="paragraph" w:styleId="25">
    <w:name w:val="Date"/>
    <w:basedOn w:val="1"/>
    <w:next w:val="1"/>
    <w:link w:val="64"/>
    <w:qFormat/>
    <w:uiPriority w:val="0"/>
    <w:pPr>
      <w:ind w:left="100" w:leftChars="2500"/>
    </w:pPr>
    <w:rPr>
      <w:kern w:val="0"/>
      <w:sz w:val="24"/>
      <w:szCs w:val="20"/>
    </w:rPr>
  </w:style>
  <w:style w:type="paragraph" w:styleId="26">
    <w:name w:val="Balloon Text"/>
    <w:basedOn w:val="1"/>
    <w:link w:val="66"/>
    <w:semiHidden/>
    <w:qFormat/>
    <w:uiPriority w:val="0"/>
    <w:rPr>
      <w:kern w:val="0"/>
      <w:sz w:val="18"/>
      <w:szCs w:val="18"/>
    </w:rPr>
  </w:style>
  <w:style w:type="paragraph" w:styleId="27">
    <w:name w:val="footer"/>
    <w:basedOn w:val="1"/>
    <w:link w:val="67"/>
    <w:qFormat/>
    <w:uiPriority w:val="0"/>
    <w:pPr>
      <w:tabs>
        <w:tab w:val="center" w:pos="4153"/>
        <w:tab w:val="right" w:pos="8306"/>
      </w:tabs>
      <w:snapToGrid w:val="0"/>
      <w:jc w:val="left"/>
    </w:pPr>
    <w:rPr>
      <w:kern w:val="0"/>
      <w:sz w:val="18"/>
      <w:szCs w:val="18"/>
    </w:rPr>
  </w:style>
  <w:style w:type="paragraph" w:styleId="28">
    <w:name w:val="header"/>
    <w:basedOn w:val="1"/>
    <w:link w:val="68"/>
    <w:qFormat/>
    <w:uiPriority w:val="0"/>
    <w:pPr>
      <w:pBdr>
        <w:bottom w:val="single" w:color="auto" w:sz="6" w:space="1"/>
      </w:pBdr>
      <w:tabs>
        <w:tab w:val="center" w:pos="4153"/>
        <w:tab w:val="right" w:pos="8306"/>
      </w:tabs>
      <w:snapToGrid w:val="0"/>
      <w:jc w:val="center"/>
    </w:pPr>
    <w:rPr>
      <w:kern w:val="0"/>
      <w:sz w:val="18"/>
      <w:szCs w:val="18"/>
    </w:rPr>
  </w:style>
  <w:style w:type="paragraph" w:styleId="29">
    <w:name w:val="toc 1"/>
    <w:basedOn w:val="1"/>
    <w:next w:val="1"/>
    <w:qFormat/>
    <w:locked/>
    <w:uiPriority w:val="39"/>
    <w:pPr>
      <w:spacing w:line="360" w:lineRule="auto"/>
    </w:pPr>
    <w:rPr>
      <w:sz w:val="24"/>
    </w:rPr>
  </w:style>
  <w:style w:type="paragraph" w:styleId="30">
    <w:name w:val="toc 4"/>
    <w:basedOn w:val="1"/>
    <w:next w:val="1"/>
    <w:qFormat/>
    <w:locked/>
    <w:uiPriority w:val="0"/>
    <w:pPr>
      <w:ind w:left="630"/>
      <w:jc w:val="left"/>
    </w:pPr>
    <w:rPr>
      <w:sz w:val="18"/>
      <w:szCs w:val="18"/>
    </w:rPr>
  </w:style>
  <w:style w:type="paragraph" w:styleId="31">
    <w:name w:val="footnote text"/>
    <w:basedOn w:val="1"/>
    <w:link w:val="134"/>
    <w:qFormat/>
    <w:uiPriority w:val="0"/>
    <w:pPr>
      <w:snapToGrid w:val="0"/>
      <w:jc w:val="left"/>
    </w:pPr>
    <w:rPr>
      <w:sz w:val="18"/>
      <w:szCs w:val="18"/>
    </w:rPr>
  </w:style>
  <w:style w:type="paragraph" w:styleId="32">
    <w:name w:val="toc 6"/>
    <w:basedOn w:val="1"/>
    <w:next w:val="1"/>
    <w:qFormat/>
    <w:locked/>
    <w:uiPriority w:val="0"/>
    <w:pPr>
      <w:ind w:left="1050"/>
      <w:jc w:val="left"/>
    </w:pPr>
    <w:rPr>
      <w:sz w:val="18"/>
      <w:szCs w:val="18"/>
    </w:rPr>
  </w:style>
  <w:style w:type="paragraph" w:styleId="33">
    <w:name w:val="Body Text Indent 3"/>
    <w:basedOn w:val="1"/>
    <w:link w:val="135"/>
    <w:qFormat/>
    <w:uiPriority w:val="0"/>
    <w:pPr>
      <w:ind w:firstLine="480" w:firstLineChars="200"/>
    </w:pPr>
    <w:rPr>
      <w:rFonts w:ascii="宋体"/>
      <w:sz w:val="24"/>
      <w:szCs w:val="20"/>
    </w:rPr>
  </w:style>
  <w:style w:type="paragraph" w:styleId="34">
    <w:name w:val="toc 2"/>
    <w:basedOn w:val="1"/>
    <w:next w:val="1"/>
    <w:qFormat/>
    <w:locked/>
    <w:uiPriority w:val="39"/>
    <w:pPr>
      <w:ind w:left="420" w:leftChars="200"/>
    </w:pPr>
  </w:style>
  <w:style w:type="paragraph" w:styleId="35">
    <w:name w:val="toc 9"/>
    <w:basedOn w:val="1"/>
    <w:next w:val="1"/>
    <w:qFormat/>
    <w:locked/>
    <w:uiPriority w:val="0"/>
    <w:pPr>
      <w:ind w:left="1680"/>
      <w:jc w:val="left"/>
    </w:pPr>
    <w:rPr>
      <w:sz w:val="18"/>
      <w:szCs w:val="18"/>
    </w:rPr>
  </w:style>
  <w:style w:type="paragraph" w:styleId="36">
    <w:name w:val="Body Text 2"/>
    <w:basedOn w:val="1"/>
    <w:link w:val="136"/>
    <w:qFormat/>
    <w:uiPriority w:val="0"/>
    <w:pPr>
      <w:snapToGrid w:val="0"/>
      <w:ind w:firstLine="480"/>
    </w:pPr>
    <w:rPr>
      <w:sz w:val="24"/>
    </w:rPr>
  </w:style>
  <w:style w:type="paragraph" w:styleId="37">
    <w:name w:val="Message Header"/>
    <w:basedOn w:val="1"/>
    <w:link w:val="137"/>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rPr>
  </w:style>
  <w:style w:type="paragraph" w:styleId="38">
    <w:name w:val="HTML Preformatted"/>
    <w:basedOn w:val="1"/>
    <w:link w:val="13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9">
    <w:name w:val="Normal (Web)"/>
    <w:basedOn w:val="1"/>
    <w:link w:val="69"/>
    <w:qFormat/>
    <w:uiPriority w:val="99"/>
    <w:pPr>
      <w:widowControl/>
      <w:spacing w:before="100" w:beforeAutospacing="1" w:after="100" w:afterAutospacing="1"/>
      <w:jc w:val="left"/>
    </w:pPr>
    <w:rPr>
      <w:rFonts w:ascii="宋体" w:hAnsi="宋体"/>
      <w:kern w:val="0"/>
      <w:sz w:val="24"/>
      <w:szCs w:val="20"/>
    </w:rPr>
  </w:style>
  <w:style w:type="paragraph" w:styleId="40">
    <w:name w:val="index 1"/>
    <w:basedOn w:val="1"/>
    <w:next w:val="1"/>
    <w:qFormat/>
    <w:uiPriority w:val="0"/>
    <w:pPr>
      <w:jc w:val="center"/>
    </w:pPr>
    <w:rPr>
      <w:rFonts w:eastAsia="仿宋_GB2312"/>
      <w:szCs w:val="21"/>
    </w:rPr>
  </w:style>
  <w:style w:type="paragraph" w:styleId="41">
    <w:name w:val="annotation subject"/>
    <w:basedOn w:val="15"/>
    <w:next w:val="15"/>
    <w:link w:val="70"/>
    <w:semiHidden/>
    <w:qFormat/>
    <w:uiPriority w:val="0"/>
    <w:rPr>
      <w:b/>
      <w:bCs/>
      <w:kern w:val="2"/>
      <w:szCs w:val="24"/>
    </w:rPr>
  </w:style>
  <w:style w:type="paragraph" w:styleId="42">
    <w:name w:val="Body Text First Indent"/>
    <w:basedOn w:val="17"/>
    <w:next w:val="43"/>
    <w:link w:val="139"/>
    <w:qFormat/>
    <w:uiPriority w:val="0"/>
    <w:pPr>
      <w:widowControl w:val="0"/>
      <w:snapToGrid/>
      <w:spacing w:before="0" w:after="120" w:line="240" w:lineRule="auto"/>
      <w:ind w:right="0" w:firstLine="420" w:firstLineChars="100"/>
    </w:pPr>
    <w:rPr>
      <w:kern w:val="2"/>
      <w:sz w:val="21"/>
    </w:rPr>
  </w:style>
  <w:style w:type="paragraph" w:styleId="43">
    <w:name w:val="Body Text First Indent 2"/>
    <w:basedOn w:val="18"/>
    <w:qFormat/>
    <w:uiPriority w:val="0"/>
    <w:pPr>
      <w:ind w:firstLine="420" w:firstLineChars="200"/>
    </w:pPr>
    <w:rPr>
      <w:sz w:val="21"/>
    </w:rPr>
  </w:style>
  <w:style w:type="table" w:styleId="45">
    <w:name w:val="Table Grid"/>
    <w:basedOn w:val="4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basedOn w:val="46"/>
    <w:qFormat/>
    <w:locked/>
    <w:uiPriority w:val="22"/>
    <w:rPr>
      <w:b/>
      <w:bCs/>
    </w:rPr>
  </w:style>
  <w:style w:type="character" w:styleId="48">
    <w:name w:val="page number"/>
    <w:qFormat/>
    <w:uiPriority w:val="0"/>
  </w:style>
  <w:style w:type="character" w:styleId="49">
    <w:name w:val="Emphasis"/>
    <w:basedOn w:val="46"/>
    <w:qFormat/>
    <w:locked/>
    <w:uiPriority w:val="0"/>
    <w:rPr>
      <w:i/>
    </w:rPr>
  </w:style>
  <w:style w:type="character" w:styleId="50">
    <w:name w:val="Hyperlink"/>
    <w:unhideWhenUsed/>
    <w:qFormat/>
    <w:uiPriority w:val="99"/>
    <w:rPr>
      <w:color w:val="0000FF"/>
      <w:u w:val="single"/>
    </w:rPr>
  </w:style>
  <w:style w:type="character" w:styleId="51">
    <w:name w:val="annotation reference"/>
    <w:qFormat/>
    <w:uiPriority w:val="0"/>
    <w:rPr>
      <w:sz w:val="21"/>
    </w:rPr>
  </w:style>
  <w:style w:type="character" w:styleId="52">
    <w:name w:val="footnote reference"/>
    <w:qFormat/>
    <w:uiPriority w:val="0"/>
    <w:rPr>
      <w:vertAlign w:val="superscript"/>
    </w:rPr>
  </w:style>
  <w:style w:type="character" w:customStyle="1" w:styleId="53">
    <w:name w:val="标题 2 字符1"/>
    <w:link w:val="3"/>
    <w:semiHidden/>
    <w:qFormat/>
    <w:uiPriority w:val="0"/>
    <w:rPr>
      <w:rFonts w:ascii="等线 Light" w:hAnsi="等线 Light" w:eastAsia="等线 Light" w:cs="Times New Roman"/>
      <w:b/>
      <w:bCs/>
      <w:kern w:val="2"/>
      <w:sz w:val="32"/>
      <w:szCs w:val="32"/>
    </w:rPr>
  </w:style>
  <w:style w:type="character" w:customStyle="1" w:styleId="54">
    <w:name w:val="标题 3 字符1"/>
    <w:link w:val="5"/>
    <w:qFormat/>
    <w:uiPriority w:val="0"/>
    <w:rPr>
      <w:b/>
      <w:bCs/>
      <w:kern w:val="2"/>
      <w:sz w:val="32"/>
      <w:szCs w:val="32"/>
    </w:rPr>
  </w:style>
  <w:style w:type="character" w:customStyle="1" w:styleId="55">
    <w:name w:val="标题 4 字符"/>
    <w:link w:val="6"/>
    <w:semiHidden/>
    <w:qFormat/>
    <w:uiPriority w:val="0"/>
    <w:rPr>
      <w:rFonts w:ascii="等线 Light" w:hAnsi="等线 Light" w:eastAsia="等线 Light" w:cs="Times New Roman"/>
      <w:b/>
      <w:bCs/>
      <w:kern w:val="2"/>
      <w:sz w:val="28"/>
      <w:szCs w:val="28"/>
    </w:rPr>
  </w:style>
  <w:style w:type="character" w:customStyle="1" w:styleId="56">
    <w:name w:val="标题 5 字符"/>
    <w:link w:val="7"/>
    <w:semiHidden/>
    <w:qFormat/>
    <w:uiPriority w:val="0"/>
    <w:rPr>
      <w:b/>
      <w:bCs/>
      <w:kern w:val="2"/>
      <w:sz w:val="28"/>
      <w:szCs w:val="28"/>
    </w:rPr>
  </w:style>
  <w:style w:type="character" w:customStyle="1" w:styleId="57">
    <w:name w:val="正文缩进 字符"/>
    <w:link w:val="4"/>
    <w:qFormat/>
    <w:uiPriority w:val="0"/>
    <w:rPr>
      <w:kern w:val="2"/>
      <w:sz w:val="24"/>
    </w:rPr>
  </w:style>
  <w:style w:type="character" w:customStyle="1" w:styleId="58">
    <w:name w:val="题注 字符"/>
    <w:link w:val="13"/>
    <w:qFormat/>
    <w:uiPriority w:val="0"/>
    <w:rPr>
      <w:rFonts w:ascii="Arial" w:hAnsi="Arial" w:eastAsia="黑体" w:cs="Arial"/>
      <w:kern w:val="2"/>
    </w:rPr>
  </w:style>
  <w:style w:type="character" w:customStyle="1" w:styleId="59">
    <w:name w:val="文档结构图 字符"/>
    <w:link w:val="14"/>
    <w:qFormat/>
    <w:uiPriority w:val="0"/>
    <w:rPr>
      <w:rFonts w:ascii="宋体"/>
      <w:kern w:val="2"/>
      <w:sz w:val="18"/>
      <w:szCs w:val="18"/>
    </w:rPr>
  </w:style>
  <w:style w:type="character" w:customStyle="1" w:styleId="60">
    <w:name w:val="批注文字 字符3"/>
    <w:link w:val="15"/>
    <w:qFormat/>
    <w:locked/>
    <w:uiPriority w:val="0"/>
    <w:rPr>
      <w:rFonts w:ascii="Times New Roman" w:hAnsi="Times New Roman" w:eastAsia="宋体"/>
      <w:sz w:val="24"/>
    </w:rPr>
  </w:style>
  <w:style w:type="character" w:customStyle="1" w:styleId="61">
    <w:name w:val="正文文本 字符2"/>
    <w:link w:val="17"/>
    <w:qFormat/>
    <w:locked/>
    <w:uiPriority w:val="0"/>
    <w:rPr>
      <w:sz w:val="18"/>
    </w:rPr>
  </w:style>
  <w:style w:type="character" w:customStyle="1" w:styleId="62">
    <w:name w:val="正文文本缩进 字符1"/>
    <w:link w:val="18"/>
    <w:semiHidden/>
    <w:qFormat/>
    <w:locked/>
    <w:uiPriority w:val="0"/>
    <w:rPr>
      <w:rFonts w:ascii="Times New Roman" w:hAnsi="Times New Roman" w:eastAsia="宋体" w:cs="Times New Roman"/>
      <w:sz w:val="24"/>
      <w:szCs w:val="24"/>
    </w:rPr>
  </w:style>
  <w:style w:type="character" w:customStyle="1" w:styleId="63">
    <w:name w:val="纯文本 字符"/>
    <w:link w:val="23"/>
    <w:qFormat/>
    <w:uiPriority w:val="0"/>
    <w:rPr>
      <w:rFonts w:ascii="宋体" w:hAnsi="Courier New" w:cs="宋体"/>
      <w:kern w:val="2"/>
      <w:sz w:val="21"/>
      <w:szCs w:val="21"/>
    </w:rPr>
  </w:style>
  <w:style w:type="character" w:customStyle="1" w:styleId="64">
    <w:name w:val="日期 字符2"/>
    <w:link w:val="25"/>
    <w:qFormat/>
    <w:locked/>
    <w:uiPriority w:val="0"/>
    <w:rPr>
      <w:rFonts w:ascii="Times New Roman" w:hAnsi="Times New Roman" w:eastAsia="宋体"/>
      <w:sz w:val="24"/>
    </w:rPr>
  </w:style>
  <w:style w:type="character" w:customStyle="1" w:styleId="65">
    <w:name w:val="正文文本缩进 2 字符1"/>
    <w:link w:val="19"/>
    <w:qFormat/>
    <w:uiPriority w:val="0"/>
    <w:rPr>
      <w:kern w:val="2"/>
      <w:sz w:val="21"/>
      <w:szCs w:val="24"/>
    </w:rPr>
  </w:style>
  <w:style w:type="character" w:customStyle="1" w:styleId="66">
    <w:name w:val="批注框文本 字符1"/>
    <w:link w:val="26"/>
    <w:semiHidden/>
    <w:qFormat/>
    <w:locked/>
    <w:uiPriority w:val="0"/>
    <w:rPr>
      <w:rFonts w:ascii="Times New Roman" w:hAnsi="Times New Roman" w:eastAsia="宋体" w:cs="Times New Roman"/>
      <w:sz w:val="18"/>
      <w:szCs w:val="18"/>
    </w:rPr>
  </w:style>
  <w:style w:type="character" w:customStyle="1" w:styleId="67">
    <w:name w:val="页脚 字符2"/>
    <w:link w:val="27"/>
    <w:qFormat/>
    <w:locked/>
    <w:uiPriority w:val="0"/>
    <w:rPr>
      <w:rFonts w:cs="Times New Roman"/>
      <w:sz w:val="18"/>
      <w:szCs w:val="18"/>
    </w:rPr>
  </w:style>
  <w:style w:type="character" w:customStyle="1" w:styleId="68">
    <w:name w:val="页眉 字符1"/>
    <w:link w:val="28"/>
    <w:qFormat/>
    <w:locked/>
    <w:uiPriority w:val="0"/>
    <w:rPr>
      <w:rFonts w:cs="Times New Roman"/>
      <w:sz w:val="18"/>
      <w:szCs w:val="18"/>
    </w:rPr>
  </w:style>
  <w:style w:type="character" w:customStyle="1" w:styleId="69">
    <w:name w:val="普通(网站) 字符1"/>
    <w:link w:val="39"/>
    <w:qFormat/>
    <w:locked/>
    <w:uiPriority w:val="0"/>
    <w:rPr>
      <w:rFonts w:ascii="宋体" w:hAnsi="宋体" w:eastAsia="宋体"/>
      <w:sz w:val="24"/>
    </w:rPr>
  </w:style>
  <w:style w:type="character" w:customStyle="1" w:styleId="70">
    <w:name w:val="批注主题 字符1"/>
    <w:link w:val="41"/>
    <w:semiHidden/>
    <w:qFormat/>
    <w:locked/>
    <w:uiPriority w:val="0"/>
    <w:rPr>
      <w:rFonts w:ascii="Times New Roman" w:hAnsi="Times New Roman" w:eastAsia="宋体" w:cs="Times New Roman"/>
      <w:b/>
      <w:bCs/>
      <w:kern w:val="2"/>
      <w:sz w:val="24"/>
      <w:szCs w:val="24"/>
    </w:rPr>
  </w:style>
  <w:style w:type="character" w:customStyle="1" w:styleId="71">
    <w:name w:val="页眉 字符"/>
    <w:qFormat/>
    <w:locked/>
    <w:uiPriority w:val="0"/>
    <w:rPr>
      <w:sz w:val="18"/>
    </w:rPr>
  </w:style>
  <w:style w:type="character" w:customStyle="1" w:styleId="72">
    <w:name w:val="日期 字符"/>
    <w:semiHidden/>
    <w:qFormat/>
    <w:uiPriority w:val="0"/>
    <w:rPr>
      <w:rFonts w:ascii="Times New Roman" w:hAnsi="Times New Roman" w:eastAsia="宋体" w:cs="Times New Roman"/>
      <w:sz w:val="24"/>
      <w:szCs w:val="24"/>
    </w:rPr>
  </w:style>
  <w:style w:type="character" w:customStyle="1" w:styleId="73">
    <w:name w:val="表格 Char"/>
    <w:link w:val="74"/>
    <w:qFormat/>
    <w:locked/>
    <w:uiPriority w:val="0"/>
    <w:rPr>
      <w:rFonts w:ascii="宋体"/>
      <w:sz w:val="21"/>
    </w:rPr>
  </w:style>
  <w:style w:type="paragraph" w:customStyle="1" w:styleId="74">
    <w:name w:val="表格"/>
    <w:basedOn w:val="13"/>
    <w:next w:val="1"/>
    <w:link w:val="73"/>
    <w:qFormat/>
    <w:uiPriority w:val="0"/>
    <w:pPr>
      <w:adjustRightInd w:val="0"/>
      <w:snapToGrid w:val="0"/>
      <w:spacing w:beforeLines="10" w:afterLines="10" w:line="259" w:lineRule="auto"/>
      <w:jc w:val="center"/>
    </w:pPr>
    <w:rPr>
      <w:rFonts w:ascii="宋体"/>
      <w:kern w:val="0"/>
      <w:szCs w:val="20"/>
    </w:rPr>
  </w:style>
  <w:style w:type="character" w:customStyle="1" w:styleId="75">
    <w:name w:val="正文缩进28磅 Char"/>
    <w:link w:val="76"/>
    <w:qFormat/>
    <w:uiPriority w:val="0"/>
    <w:rPr>
      <w:bCs/>
      <w:snapToGrid/>
      <w:sz w:val="24"/>
    </w:rPr>
  </w:style>
  <w:style w:type="paragraph" w:customStyle="1" w:styleId="76">
    <w:name w:val="正文缩进28磅"/>
    <w:basedOn w:val="1"/>
    <w:link w:val="75"/>
    <w:qFormat/>
    <w:uiPriority w:val="0"/>
    <w:pPr>
      <w:spacing w:line="348" w:lineRule="auto"/>
      <w:ind w:right="238" w:firstLine="480" w:firstLineChars="200"/>
    </w:pPr>
    <w:rPr>
      <w:bCs/>
      <w:snapToGrid w:val="0"/>
      <w:kern w:val="0"/>
      <w:sz w:val="24"/>
      <w:szCs w:val="20"/>
    </w:rPr>
  </w:style>
  <w:style w:type="character" w:customStyle="1" w:styleId="77">
    <w:name w:val="正文文本 字符1"/>
    <w:semiHidden/>
    <w:qFormat/>
    <w:uiPriority w:val="0"/>
    <w:rPr>
      <w:rFonts w:ascii="Times New Roman" w:hAnsi="Times New Roman" w:eastAsia="宋体" w:cs="Times New Roman"/>
      <w:sz w:val="24"/>
      <w:szCs w:val="24"/>
    </w:rPr>
  </w:style>
  <w:style w:type="character" w:customStyle="1" w:styleId="78">
    <w:name w:val="样式 样式 样式 正文缩进s4 + 首行缩进:  2 字符 + 首行缩进:  2 字符 + Char"/>
    <w:qFormat/>
    <w:uiPriority w:val="0"/>
    <w:rPr>
      <w:rFonts w:eastAsia="仿宋_GB2312" w:cs="宋体"/>
      <w:color w:val="000000"/>
      <w:kern w:val="2"/>
      <w:sz w:val="28"/>
      <w:szCs w:val="28"/>
      <w:lang w:val="en-US" w:eastAsia="zh-CN" w:bidi="ar-SA"/>
    </w:rPr>
  </w:style>
  <w:style w:type="character" w:customStyle="1" w:styleId="79">
    <w:name w:val="批注主题 字符"/>
    <w:semiHidden/>
    <w:qFormat/>
    <w:locked/>
    <w:uiPriority w:val="0"/>
    <w:rPr>
      <w:rFonts w:ascii="Times New Roman" w:hAnsi="Times New Roman" w:eastAsia="宋体"/>
      <w:b/>
      <w:kern w:val="2"/>
      <w:sz w:val="24"/>
    </w:rPr>
  </w:style>
  <w:style w:type="character" w:customStyle="1" w:styleId="80">
    <w:name w:val="普通(网站) Char"/>
    <w:qFormat/>
    <w:locked/>
    <w:uiPriority w:val="0"/>
    <w:rPr>
      <w:rFonts w:ascii="宋体" w:hAnsi="宋体" w:eastAsia="宋体"/>
      <w:sz w:val="24"/>
    </w:rPr>
  </w:style>
  <w:style w:type="character" w:customStyle="1" w:styleId="81">
    <w:name w:val="批注文字 字符1"/>
    <w:qFormat/>
    <w:uiPriority w:val="0"/>
    <w:rPr>
      <w:rFonts w:ascii="Times New Roman" w:hAnsi="Times New Roman" w:eastAsia="宋体" w:cs="Times New Roman"/>
      <w:sz w:val="24"/>
      <w:szCs w:val="24"/>
    </w:rPr>
  </w:style>
  <w:style w:type="character" w:customStyle="1" w:styleId="82">
    <w:name w:val="正文文本 字符"/>
    <w:qFormat/>
    <w:locked/>
    <w:uiPriority w:val="0"/>
    <w:rPr>
      <w:sz w:val="18"/>
    </w:rPr>
  </w:style>
  <w:style w:type="character" w:customStyle="1" w:styleId="83">
    <w:name w:val="纯文本 Char"/>
    <w:qFormat/>
    <w:uiPriority w:val="0"/>
    <w:rPr>
      <w:rFonts w:ascii="宋体" w:hAnsi="Courier New" w:cs="Courier New"/>
      <w:kern w:val="2"/>
      <w:sz w:val="21"/>
      <w:szCs w:val="21"/>
    </w:rPr>
  </w:style>
  <w:style w:type="character" w:customStyle="1" w:styleId="84">
    <w:name w:val="正文文本缩进 字符"/>
    <w:qFormat/>
    <w:locked/>
    <w:uiPriority w:val="0"/>
    <w:rPr>
      <w:rFonts w:ascii="Times New Roman" w:hAnsi="Times New Roman" w:eastAsia="宋体"/>
      <w:sz w:val="24"/>
    </w:rPr>
  </w:style>
  <w:style w:type="character" w:customStyle="1" w:styleId="85">
    <w:name w:val="纯文本 字符2"/>
    <w:qFormat/>
    <w:uiPriority w:val="0"/>
    <w:rPr>
      <w:rFonts w:ascii="宋体" w:hAnsi="Courier New" w:eastAsia="宋体" w:cs="宋体"/>
      <w:kern w:val="2"/>
      <w:sz w:val="21"/>
      <w:szCs w:val="21"/>
      <w:lang w:val="en-US" w:eastAsia="zh-CN" w:bidi="ar-SA"/>
    </w:rPr>
  </w:style>
  <w:style w:type="character" w:customStyle="1" w:styleId="86">
    <w:name w:val="页脚 字符1"/>
    <w:qFormat/>
    <w:locked/>
    <w:uiPriority w:val="99"/>
    <w:rPr>
      <w:sz w:val="18"/>
    </w:rPr>
  </w:style>
  <w:style w:type="character" w:customStyle="1" w:styleId="87">
    <w:name w:val="正文缩进 字符1"/>
    <w:qFormat/>
    <w:uiPriority w:val="0"/>
    <w:rPr>
      <w:rFonts w:eastAsia="宋体"/>
      <w:kern w:val="2"/>
      <w:sz w:val="24"/>
      <w:lang w:val="en-US" w:eastAsia="zh-CN" w:bidi="ar-SA"/>
    </w:rPr>
  </w:style>
  <w:style w:type="character" w:customStyle="1" w:styleId="88">
    <w:name w:val="批注框文本 字符"/>
    <w:semiHidden/>
    <w:qFormat/>
    <w:locked/>
    <w:uiPriority w:val="0"/>
    <w:rPr>
      <w:rFonts w:ascii="Times New Roman" w:hAnsi="Times New Roman" w:eastAsia="宋体"/>
      <w:sz w:val="18"/>
    </w:rPr>
  </w:style>
  <w:style w:type="character" w:customStyle="1" w:styleId="89">
    <w:name w:val="封面标题（）"/>
    <w:semiHidden/>
    <w:qFormat/>
    <w:uiPriority w:val="0"/>
    <w:rPr>
      <w:rFonts w:eastAsia="黑体"/>
      <w:sz w:val="52"/>
      <w:szCs w:val="52"/>
    </w:rPr>
  </w:style>
  <w:style w:type="character" w:customStyle="1" w:styleId="90">
    <w:name w:val="批注文字 字符"/>
    <w:qFormat/>
    <w:locked/>
    <w:uiPriority w:val="0"/>
    <w:rPr>
      <w:rFonts w:ascii="Times New Roman" w:hAnsi="Times New Roman" w:eastAsia="宋体"/>
      <w:sz w:val="24"/>
    </w:rPr>
  </w:style>
  <w:style w:type="character" w:customStyle="1" w:styleId="91">
    <w:name w:val="Char Char4"/>
    <w:qFormat/>
    <w:uiPriority w:val="0"/>
    <w:rPr>
      <w:rFonts w:ascii="宋体" w:eastAsia="宋体"/>
      <w:sz w:val="21"/>
      <w:szCs w:val="21"/>
      <w:lang w:val="en-US" w:eastAsia="zh-CN" w:bidi="ar-SA"/>
    </w:rPr>
  </w:style>
  <w:style w:type="character" w:customStyle="1" w:styleId="92">
    <w:name w:val="页脚 字符"/>
    <w:qFormat/>
    <w:uiPriority w:val="99"/>
  </w:style>
  <w:style w:type="character" w:customStyle="1" w:styleId="93">
    <w:name w:val="标题 3 字符"/>
    <w:qFormat/>
    <w:uiPriority w:val="0"/>
    <w:rPr>
      <w:b/>
      <w:bCs/>
      <w:kern w:val="2"/>
      <w:sz w:val="32"/>
      <w:szCs w:val="32"/>
    </w:rPr>
  </w:style>
  <w:style w:type="character" w:customStyle="1" w:styleId="94">
    <w:name w:val="正文文本缩进 2 字符"/>
    <w:qFormat/>
    <w:uiPriority w:val="0"/>
    <w:rPr>
      <w:kern w:val="2"/>
      <w:sz w:val="21"/>
      <w:szCs w:val="24"/>
    </w:rPr>
  </w:style>
  <w:style w:type="character" w:customStyle="1" w:styleId="95">
    <w:name w:val="日期 字符1"/>
    <w:qFormat/>
    <w:locked/>
    <w:uiPriority w:val="0"/>
    <w:rPr>
      <w:rFonts w:ascii="Times New Roman" w:hAnsi="Times New Roman" w:eastAsia="宋体"/>
      <w:sz w:val="24"/>
    </w:rPr>
  </w:style>
  <w:style w:type="character" w:customStyle="1" w:styleId="96">
    <w:name w:val="标题 2 字符"/>
    <w:qFormat/>
    <w:uiPriority w:val="0"/>
    <w:rPr>
      <w:rFonts w:ascii="等线 Light" w:hAnsi="等线 Light" w:eastAsia="等线 Light" w:cs="Times New Roman"/>
      <w:b/>
      <w:bCs/>
      <w:kern w:val="2"/>
      <w:sz w:val="32"/>
      <w:szCs w:val="32"/>
    </w:rPr>
  </w:style>
  <w:style w:type="character" w:customStyle="1" w:styleId="97">
    <w:name w:val="普通(网站) 字符"/>
    <w:qFormat/>
    <w:locked/>
    <w:uiPriority w:val="0"/>
    <w:rPr>
      <w:rFonts w:ascii="宋体" w:hAnsi="宋体" w:eastAsia="宋体"/>
      <w:sz w:val="24"/>
    </w:rPr>
  </w:style>
  <w:style w:type="character" w:customStyle="1" w:styleId="98">
    <w:name w:val="纯文本 字符1"/>
    <w:qFormat/>
    <w:uiPriority w:val="0"/>
    <w:rPr>
      <w:rFonts w:ascii="宋体" w:hAnsi="Courier New" w:cs="Courier New"/>
      <w:kern w:val="2"/>
      <w:sz w:val="21"/>
      <w:szCs w:val="21"/>
    </w:rPr>
  </w:style>
  <w:style w:type="character" w:customStyle="1" w:styleId="99">
    <w:name w:val="正文 + 首行缩进:  2 字符 Char"/>
    <w:link w:val="100"/>
    <w:qFormat/>
    <w:uiPriority w:val="0"/>
    <w:rPr>
      <w:snapToGrid/>
      <w:kern w:val="2"/>
      <w:sz w:val="24"/>
    </w:rPr>
  </w:style>
  <w:style w:type="paragraph" w:customStyle="1" w:styleId="100">
    <w:name w:val="正文 + 首行缩进:  2 字符"/>
    <w:basedOn w:val="1"/>
    <w:link w:val="99"/>
    <w:qFormat/>
    <w:uiPriority w:val="0"/>
    <w:pPr>
      <w:tabs>
        <w:tab w:val="left" w:pos="2940"/>
      </w:tabs>
      <w:adjustRightInd w:val="0"/>
      <w:snapToGrid w:val="0"/>
      <w:spacing w:line="360" w:lineRule="auto"/>
      <w:ind w:firstLine="480" w:firstLineChars="200"/>
    </w:pPr>
    <w:rPr>
      <w:snapToGrid w:val="0"/>
      <w:sz w:val="24"/>
      <w:szCs w:val="20"/>
    </w:rPr>
  </w:style>
  <w:style w:type="character" w:customStyle="1" w:styleId="101">
    <w:name w:val="样式（正文） Char"/>
    <w:link w:val="102"/>
    <w:qFormat/>
    <w:uiPriority w:val="0"/>
    <w:rPr>
      <w:rFonts w:ascii="宋体" w:hAnsi="宋体" w:cs="宋体"/>
      <w:snapToGrid/>
      <w:kern w:val="2"/>
      <w:sz w:val="24"/>
      <w:szCs w:val="24"/>
    </w:rPr>
  </w:style>
  <w:style w:type="paragraph" w:customStyle="1" w:styleId="102">
    <w:name w:val="样式（正文）"/>
    <w:basedOn w:val="1"/>
    <w:link w:val="101"/>
    <w:qFormat/>
    <w:uiPriority w:val="0"/>
    <w:pPr>
      <w:adjustRightInd w:val="0"/>
      <w:snapToGrid w:val="0"/>
      <w:spacing w:line="360" w:lineRule="auto"/>
      <w:ind w:firstLine="480" w:firstLineChars="200"/>
    </w:pPr>
    <w:rPr>
      <w:rFonts w:ascii="宋体" w:hAnsi="宋体" w:cs="宋体"/>
      <w:snapToGrid w:val="0"/>
      <w:sz w:val="24"/>
    </w:rPr>
  </w:style>
  <w:style w:type="character" w:customStyle="1" w:styleId="103">
    <w:name w:val="样式（ 正文） Char"/>
    <w:link w:val="104"/>
    <w:qFormat/>
    <w:uiPriority w:val="0"/>
    <w:rPr>
      <w:rFonts w:ascii="宋体" w:hAnsi="宋体" w:cs="宋体"/>
      <w:bCs/>
      <w:snapToGrid/>
      <w:color w:val="800080"/>
      <w:kern w:val="2"/>
      <w:sz w:val="24"/>
      <w:szCs w:val="32"/>
    </w:rPr>
  </w:style>
  <w:style w:type="paragraph" w:customStyle="1" w:styleId="104">
    <w:name w:val="样式（ 正文）"/>
    <w:basedOn w:val="4"/>
    <w:link w:val="103"/>
    <w:qFormat/>
    <w:uiPriority w:val="0"/>
    <w:pPr>
      <w:snapToGrid w:val="0"/>
      <w:spacing w:line="360" w:lineRule="auto"/>
      <w:ind w:firstLine="200" w:firstLineChars="200"/>
    </w:pPr>
    <w:rPr>
      <w:rFonts w:ascii="宋体" w:hAnsi="宋体" w:cs="宋体"/>
      <w:bCs/>
      <w:snapToGrid w:val="0"/>
      <w:color w:val="800080"/>
      <w:szCs w:val="32"/>
    </w:rPr>
  </w:style>
  <w:style w:type="character" w:customStyle="1" w:styleId="105">
    <w:name w:val="zw Char"/>
    <w:link w:val="106"/>
    <w:qFormat/>
    <w:uiPriority w:val="0"/>
    <w:rPr>
      <w:rFonts w:ascii="黑体" w:hAnsi="黑体" w:cs="宋体"/>
      <w:color w:val="51585D"/>
      <w:sz w:val="24"/>
      <w:szCs w:val="24"/>
      <w:shd w:val="clear" w:color="auto" w:fill="FFFFFF"/>
    </w:rPr>
  </w:style>
  <w:style w:type="paragraph" w:customStyle="1" w:styleId="106">
    <w:name w:val="zw"/>
    <w:basedOn w:val="1"/>
    <w:link w:val="105"/>
    <w:qFormat/>
    <w:uiPriority w:val="0"/>
    <w:pPr>
      <w:shd w:val="clear" w:color="auto" w:fill="FFFFFF"/>
      <w:adjustRightInd w:val="0"/>
      <w:snapToGrid w:val="0"/>
      <w:spacing w:line="360" w:lineRule="auto"/>
      <w:ind w:firstLine="480" w:firstLineChars="200"/>
    </w:pPr>
    <w:rPr>
      <w:rFonts w:ascii="黑体" w:hAnsi="黑体" w:cs="宋体"/>
      <w:color w:val="51585D"/>
      <w:kern w:val="0"/>
      <w:sz w:val="24"/>
    </w:rPr>
  </w:style>
  <w:style w:type="character" w:customStyle="1" w:styleId="107">
    <w:name w:val="批注文字 字符2"/>
    <w:qFormat/>
    <w:uiPriority w:val="0"/>
    <w:rPr>
      <w:kern w:val="2"/>
      <w:sz w:val="21"/>
      <w:szCs w:val="24"/>
    </w:rPr>
  </w:style>
  <w:style w:type="character" w:customStyle="1" w:styleId="108">
    <w:name w:val="正文格式刷 Char"/>
    <w:link w:val="109"/>
    <w:qFormat/>
    <w:uiPriority w:val="0"/>
    <w:rPr>
      <w:kern w:val="2"/>
      <w:sz w:val="24"/>
    </w:rPr>
  </w:style>
  <w:style w:type="paragraph" w:customStyle="1" w:styleId="109">
    <w:name w:val="正文格式刷"/>
    <w:basedOn w:val="4"/>
    <w:link w:val="108"/>
    <w:qFormat/>
    <w:uiPriority w:val="0"/>
    <w:pPr>
      <w:adjustRightInd/>
      <w:spacing w:line="360" w:lineRule="auto"/>
      <w:ind w:firstLine="200" w:firstLineChars="200"/>
    </w:pPr>
  </w:style>
  <w:style w:type="paragraph" w:customStyle="1" w:styleId="11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1">
    <w:name w:val="Char2"/>
    <w:basedOn w:val="1"/>
    <w:qFormat/>
    <w:uiPriority w:val="0"/>
    <w:rPr>
      <w:szCs w:val="20"/>
    </w:rPr>
  </w:style>
  <w:style w:type="paragraph" w:customStyle="1" w:styleId="112">
    <w:name w:val="_Style 19"/>
    <w:basedOn w:val="1"/>
    <w:next w:val="1"/>
    <w:qFormat/>
    <w:uiPriority w:val="39"/>
    <w:pPr>
      <w:spacing w:line="360" w:lineRule="auto"/>
    </w:pPr>
    <w:rPr>
      <w:sz w:val="24"/>
    </w:rPr>
  </w:style>
  <w:style w:type="paragraph" w:customStyle="1" w:styleId="113">
    <w:name w:val="样式（ 题注 ）"/>
    <w:basedOn w:val="1"/>
    <w:qFormat/>
    <w:uiPriority w:val="0"/>
    <w:pPr>
      <w:spacing w:line="360" w:lineRule="auto"/>
      <w:jc w:val="center"/>
    </w:pPr>
    <w:rPr>
      <w:b/>
      <w:snapToGrid w:val="0"/>
      <w:kern w:val="0"/>
      <w:sz w:val="24"/>
    </w:rPr>
  </w:style>
  <w:style w:type="paragraph" w:customStyle="1" w:styleId="114">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5">
    <w:name w:val="p15"/>
    <w:basedOn w:val="1"/>
    <w:qFormat/>
    <w:uiPriority w:val="0"/>
    <w:pPr>
      <w:widowControl/>
      <w:spacing w:line="300" w:lineRule="auto"/>
      <w:ind w:firstLine="480"/>
    </w:pPr>
    <w:rPr>
      <w:rFonts w:ascii="宋体" w:hAnsi="宋体" w:cs="宋体"/>
      <w:kern w:val="0"/>
      <w:sz w:val="24"/>
    </w:rPr>
  </w:style>
  <w:style w:type="paragraph" w:customStyle="1" w:styleId="116">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117">
    <w:name w:val="样式（ 表格 ）"/>
    <w:basedOn w:val="74"/>
    <w:qFormat/>
    <w:uiPriority w:val="0"/>
    <w:pPr>
      <w:spacing w:beforeLines="0" w:afterLines="0" w:line="320" w:lineRule="exact"/>
    </w:pPr>
    <w:rPr>
      <w:rFonts w:ascii="Arial" w:hAnsi="Arial" w:cs="宋体"/>
      <w:snapToGrid w:val="0"/>
      <w:color w:val="0000FF"/>
    </w:rPr>
  </w:style>
  <w:style w:type="paragraph" w:customStyle="1" w:styleId="118">
    <w:name w:val="正文格式"/>
    <w:basedOn w:val="1"/>
    <w:qFormat/>
    <w:uiPriority w:val="0"/>
    <w:pPr>
      <w:adjustRightInd w:val="0"/>
      <w:snapToGrid w:val="0"/>
      <w:spacing w:line="550" w:lineRule="exact"/>
      <w:ind w:firstLine="640" w:firstLineChars="200"/>
    </w:pPr>
    <w:rPr>
      <w:rFonts w:ascii="仿宋_GB2312" w:hAnsi="宋体" w:eastAsia="仿宋_GB2312" w:cs="宋体"/>
      <w:color w:val="000000"/>
      <w:sz w:val="32"/>
      <w:szCs w:val="21"/>
    </w:rPr>
  </w:style>
  <w:style w:type="paragraph" w:customStyle="1" w:styleId="119">
    <w:name w:val="表格文字"/>
    <w:basedOn w:val="1"/>
    <w:qFormat/>
    <w:uiPriority w:val="0"/>
    <w:pPr>
      <w:jc w:val="center"/>
      <w:textAlignment w:val="center"/>
    </w:pPr>
    <w:rPr>
      <w:rFonts w:ascii="Arial" w:hAnsi="Arial"/>
      <w:szCs w:val="21"/>
    </w:rPr>
  </w:style>
  <w:style w:type="paragraph" w:customStyle="1" w:styleId="120">
    <w:name w:val="文章正文"/>
    <w:basedOn w:val="1"/>
    <w:link w:val="122"/>
    <w:qFormat/>
    <w:uiPriority w:val="9"/>
    <w:pPr>
      <w:spacing w:line="360" w:lineRule="auto"/>
      <w:ind w:firstLine="200" w:firstLineChars="200"/>
    </w:pPr>
    <w:rPr>
      <w:sz w:val="24"/>
    </w:rPr>
  </w:style>
  <w:style w:type="paragraph" w:customStyle="1" w:styleId="121">
    <w:name w:val="图表标题"/>
    <w:basedOn w:val="1"/>
    <w:link w:val="124"/>
    <w:qFormat/>
    <w:uiPriority w:val="13"/>
    <w:pPr>
      <w:spacing w:line="360" w:lineRule="auto"/>
      <w:jc w:val="center"/>
    </w:pPr>
    <w:rPr>
      <w:b/>
      <w:sz w:val="24"/>
    </w:rPr>
  </w:style>
  <w:style w:type="character" w:customStyle="1" w:styleId="122">
    <w:name w:val="文章正文 字符"/>
    <w:link w:val="120"/>
    <w:qFormat/>
    <w:uiPriority w:val="9"/>
    <w:rPr>
      <w:kern w:val="2"/>
      <w:sz w:val="24"/>
      <w:szCs w:val="24"/>
    </w:rPr>
  </w:style>
  <w:style w:type="paragraph" w:customStyle="1" w:styleId="123">
    <w:name w:val="标题3"/>
    <w:basedOn w:val="121"/>
    <w:link w:val="125"/>
    <w:qFormat/>
    <w:uiPriority w:val="11"/>
    <w:pPr>
      <w:ind w:firstLine="200" w:firstLineChars="200"/>
      <w:jc w:val="both"/>
      <w:outlineLvl w:val="2"/>
    </w:pPr>
  </w:style>
  <w:style w:type="character" w:customStyle="1" w:styleId="124">
    <w:name w:val="图表标题 字符"/>
    <w:link w:val="121"/>
    <w:qFormat/>
    <w:uiPriority w:val="13"/>
    <w:rPr>
      <w:b/>
      <w:kern w:val="2"/>
      <w:sz w:val="24"/>
      <w:szCs w:val="24"/>
    </w:rPr>
  </w:style>
  <w:style w:type="character" w:customStyle="1" w:styleId="125">
    <w:name w:val="标题3 字符"/>
    <w:link w:val="123"/>
    <w:qFormat/>
    <w:uiPriority w:val="11"/>
    <w:rPr>
      <w:b/>
      <w:kern w:val="2"/>
      <w:sz w:val="24"/>
      <w:szCs w:val="24"/>
    </w:rPr>
  </w:style>
  <w:style w:type="paragraph" w:customStyle="1" w:styleId="126">
    <w:name w:val="表格内容"/>
    <w:basedOn w:val="1"/>
    <w:link w:val="127"/>
    <w:qFormat/>
    <w:uiPriority w:val="0"/>
    <w:pPr>
      <w:jc w:val="center"/>
    </w:pPr>
  </w:style>
  <w:style w:type="character" w:customStyle="1" w:styleId="127">
    <w:name w:val="表格内容 字符"/>
    <w:link w:val="126"/>
    <w:qFormat/>
    <w:uiPriority w:val="0"/>
    <w:rPr>
      <w:kern w:val="2"/>
      <w:sz w:val="21"/>
      <w:szCs w:val="24"/>
    </w:rPr>
  </w:style>
  <w:style w:type="character" w:customStyle="1" w:styleId="128">
    <w:name w:val="标题 6 字符"/>
    <w:link w:val="8"/>
    <w:qFormat/>
    <w:uiPriority w:val="0"/>
    <w:rPr>
      <w:rFonts w:ascii="Arial" w:hAnsi="Arial" w:eastAsia="黑体"/>
      <w:b/>
      <w:sz w:val="24"/>
    </w:rPr>
  </w:style>
  <w:style w:type="character" w:customStyle="1" w:styleId="129">
    <w:name w:val="标题 7 字符"/>
    <w:link w:val="9"/>
    <w:qFormat/>
    <w:uiPriority w:val="0"/>
    <w:rPr>
      <w:b/>
      <w:sz w:val="24"/>
    </w:rPr>
  </w:style>
  <w:style w:type="character" w:customStyle="1" w:styleId="130">
    <w:name w:val="标题 8 字符"/>
    <w:link w:val="10"/>
    <w:qFormat/>
    <w:uiPriority w:val="0"/>
    <w:rPr>
      <w:rFonts w:ascii="Arial" w:hAnsi="Arial" w:eastAsia="黑体"/>
      <w:sz w:val="24"/>
    </w:rPr>
  </w:style>
  <w:style w:type="character" w:customStyle="1" w:styleId="131">
    <w:name w:val="标题 9 字符"/>
    <w:link w:val="11"/>
    <w:qFormat/>
    <w:uiPriority w:val="0"/>
    <w:rPr>
      <w:rFonts w:ascii="Arial" w:hAnsi="Arial" w:eastAsia="黑体"/>
      <w:sz w:val="21"/>
    </w:rPr>
  </w:style>
  <w:style w:type="character" w:customStyle="1" w:styleId="132">
    <w:name w:val="正文文本 3 字符"/>
    <w:link w:val="16"/>
    <w:qFormat/>
    <w:uiPriority w:val="0"/>
    <w:rPr>
      <w:b/>
      <w:bCs/>
      <w:kern w:val="2"/>
      <w:sz w:val="28"/>
      <w:szCs w:val="28"/>
    </w:rPr>
  </w:style>
  <w:style w:type="character" w:customStyle="1" w:styleId="133">
    <w:name w:val="HTML 地址 字符"/>
    <w:qFormat/>
    <w:uiPriority w:val="0"/>
    <w:rPr>
      <w:i/>
      <w:iCs/>
      <w:kern w:val="2"/>
      <w:sz w:val="21"/>
      <w:szCs w:val="24"/>
    </w:rPr>
  </w:style>
  <w:style w:type="character" w:customStyle="1" w:styleId="134">
    <w:name w:val="脚注文本 字符"/>
    <w:link w:val="31"/>
    <w:qFormat/>
    <w:uiPriority w:val="0"/>
    <w:rPr>
      <w:kern w:val="2"/>
      <w:sz w:val="18"/>
      <w:szCs w:val="18"/>
    </w:rPr>
  </w:style>
  <w:style w:type="character" w:customStyle="1" w:styleId="135">
    <w:name w:val="正文文本缩进 3 字符"/>
    <w:link w:val="33"/>
    <w:qFormat/>
    <w:uiPriority w:val="0"/>
    <w:rPr>
      <w:rFonts w:ascii="宋体"/>
      <w:kern w:val="2"/>
      <w:sz w:val="24"/>
    </w:rPr>
  </w:style>
  <w:style w:type="character" w:customStyle="1" w:styleId="136">
    <w:name w:val="正文文本 2 字符"/>
    <w:link w:val="36"/>
    <w:qFormat/>
    <w:uiPriority w:val="0"/>
    <w:rPr>
      <w:kern w:val="2"/>
      <w:sz w:val="24"/>
      <w:szCs w:val="24"/>
    </w:rPr>
  </w:style>
  <w:style w:type="character" w:customStyle="1" w:styleId="137">
    <w:name w:val="信息标题 字符"/>
    <w:link w:val="37"/>
    <w:qFormat/>
    <w:uiPriority w:val="0"/>
    <w:rPr>
      <w:rFonts w:ascii="Arial" w:hAnsi="Arial" w:cs="Arial"/>
      <w:kern w:val="2"/>
      <w:sz w:val="24"/>
      <w:szCs w:val="24"/>
      <w:shd w:val="pct20" w:color="auto" w:fill="auto"/>
    </w:rPr>
  </w:style>
  <w:style w:type="character" w:customStyle="1" w:styleId="138">
    <w:name w:val="HTML 预设格式 字符"/>
    <w:link w:val="38"/>
    <w:qFormat/>
    <w:uiPriority w:val="0"/>
    <w:rPr>
      <w:rFonts w:ascii="Arial" w:hAnsi="Arial" w:cs="Arial"/>
      <w:sz w:val="24"/>
      <w:szCs w:val="24"/>
    </w:rPr>
  </w:style>
  <w:style w:type="character" w:customStyle="1" w:styleId="139">
    <w:name w:val="正文文本首行缩进 字符"/>
    <w:link w:val="42"/>
    <w:qFormat/>
    <w:uiPriority w:val="0"/>
    <w:rPr>
      <w:kern w:val="2"/>
      <w:sz w:val="21"/>
    </w:rPr>
  </w:style>
  <w:style w:type="character" w:customStyle="1" w:styleId="140">
    <w:name w:val="表格 Char Char"/>
    <w:qFormat/>
    <w:uiPriority w:val="0"/>
    <w:rPr>
      <w:rFonts w:ascii="Arial" w:hAnsi="Arial" w:eastAsia="宋体" w:cs="Arial"/>
      <w:snapToGrid w:val="0"/>
      <w:lang w:val="en-US" w:eastAsia="zh-CN" w:bidi="ar-SA"/>
    </w:rPr>
  </w:style>
  <w:style w:type="character" w:customStyle="1" w:styleId="141">
    <w:name w:val="font51"/>
    <w:qFormat/>
    <w:uiPriority w:val="0"/>
    <w:rPr>
      <w:rFonts w:hint="eastAsia" w:ascii="宋体" w:hAnsi="宋体" w:eastAsia="宋体" w:cs="宋体"/>
      <w:color w:val="auto"/>
      <w:sz w:val="21"/>
      <w:szCs w:val="21"/>
      <w:u w:val="none"/>
    </w:rPr>
  </w:style>
  <w:style w:type="character" w:customStyle="1" w:styleId="142">
    <w:name w:val="普通文字 Char Char"/>
    <w:qFormat/>
    <w:uiPriority w:val="0"/>
    <w:rPr>
      <w:rFonts w:ascii="宋体" w:hAnsi="Courier New" w:eastAsia="宋体"/>
      <w:kern w:val="2"/>
      <w:sz w:val="21"/>
      <w:szCs w:val="21"/>
      <w:lang w:val="en-US" w:eastAsia="zh-CN" w:bidi="ar-SA"/>
    </w:rPr>
  </w:style>
  <w:style w:type="character" w:customStyle="1" w:styleId="143">
    <w:name w:val="样式 标题 2标题 2 Char Char + 小三 Char"/>
    <w:link w:val="144"/>
    <w:qFormat/>
    <w:uiPriority w:val="0"/>
    <w:rPr>
      <w:b/>
      <w:bCs/>
      <w:kern w:val="2"/>
      <w:sz w:val="30"/>
    </w:rPr>
  </w:style>
  <w:style w:type="paragraph" w:customStyle="1" w:styleId="144">
    <w:name w:val="样式 标题 2标题 2 Char Char + 小三"/>
    <w:basedOn w:val="3"/>
    <w:link w:val="143"/>
    <w:qFormat/>
    <w:uiPriority w:val="0"/>
    <w:pPr>
      <w:spacing w:before="0" w:after="0" w:line="288" w:lineRule="auto"/>
    </w:pPr>
    <w:rPr>
      <w:rFonts w:ascii="Times New Roman" w:hAnsi="Times New Roman" w:eastAsia="宋体"/>
      <w:sz w:val="30"/>
      <w:szCs w:val="20"/>
    </w:rPr>
  </w:style>
  <w:style w:type="character" w:customStyle="1" w:styleId="145">
    <w:name w:val="马2 Char Char"/>
    <w:link w:val="146"/>
    <w:qFormat/>
    <w:uiPriority w:val="0"/>
    <w:rPr>
      <w:rFonts w:ascii="宋体" w:hAnsi="宋体"/>
      <w:sz w:val="28"/>
      <w:szCs w:val="28"/>
    </w:rPr>
  </w:style>
  <w:style w:type="paragraph" w:customStyle="1" w:styleId="146">
    <w:name w:val="马2"/>
    <w:basedOn w:val="1"/>
    <w:link w:val="145"/>
    <w:qFormat/>
    <w:uiPriority w:val="0"/>
    <w:pPr>
      <w:snapToGrid w:val="0"/>
      <w:spacing w:line="360" w:lineRule="auto"/>
      <w:ind w:firstLine="560" w:firstLineChars="200"/>
    </w:pPr>
    <w:rPr>
      <w:rFonts w:ascii="宋体" w:hAnsi="宋体"/>
      <w:kern w:val="0"/>
      <w:sz w:val="28"/>
      <w:szCs w:val="28"/>
    </w:rPr>
  </w:style>
  <w:style w:type="character" w:customStyle="1" w:styleId="147">
    <w:name w:val="表格题目 Char"/>
    <w:link w:val="148"/>
    <w:qFormat/>
    <w:uiPriority w:val="0"/>
    <w:rPr>
      <w:rFonts w:hAnsi="华文楷体" w:eastAsia="华文楷体"/>
      <w:b/>
      <w:sz w:val="24"/>
      <w:szCs w:val="24"/>
      <w:lang w:bidi="en-US"/>
    </w:rPr>
  </w:style>
  <w:style w:type="paragraph" w:customStyle="1" w:styleId="148">
    <w:name w:val="表格题目"/>
    <w:basedOn w:val="1"/>
    <w:next w:val="149"/>
    <w:link w:val="147"/>
    <w:qFormat/>
    <w:uiPriority w:val="0"/>
    <w:pPr>
      <w:widowControl/>
      <w:spacing w:line="460" w:lineRule="exact"/>
      <w:ind w:firstLine="200" w:firstLineChars="200"/>
      <w:jc w:val="center"/>
    </w:pPr>
    <w:rPr>
      <w:rFonts w:hAnsi="华文楷体" w:eastAsia="华文楷体"/>
      <w:b/>
      <w:kern w:val="0"/>
      <w:sz w:val="24"/>
      <w:lang w:bidi="en-US"/>
    </w:rPr>
  </w:style>
  <w:style w:type="paragraph" w:customStyle="1" w:styleId="149">
    <w:name w:val="报告表正文"/>
    <w:basedOn w:val="1"/>
    <w:link w:val="157"/>
    <w:qFormat/>
    <w:uiPriority w:val="0"/>
    <w:pPr>
      <w:widowControl/>
      <w:spacing w:line="460" w:lineRule="exact"/>
      <w:ind w:firstLine="480" w:firstLineChars="200"/>
      <w:jc w:val="left"/>
    </w:pPr>
    <w:rPr>
      <w:rFonts w:hAnsi="宋体"/>
      <w:kern w:val="0"/>
      <w:sz w:val="24"/>
      <w:lang w:bidi="en-US"/>
    </w:rPr>
  </w:style>
  <w:style w:type="character" w:customStyle="1" w:styleId="150">
    <w:name w:val="纯文本 Char2"/>
    <w:qFormat/>
    <w:uiPriority w:val="0"/>
    <w:rPr>
      <w:rFonts w:ascii="宋体" w:hAnsi="Courier New" w:eastAsia="宋体"/>
      <w:kern w:val="2"/>
      <w:sz w:val="21"/>
      <w:lang w:val="en-US" w:eastAsia="zh-CN" w:bidi="ar-SA"/>
    </w:rPr>
  </w:style>
  <w:style w:type="character" w:customStyle="1" w:styleId="151">
    <w:name w:val="标题 1 字符"/>
    <w:link w:val="2"/>
    <w:qFormat/>
    <w:uiPriority w:val="0"/>
    <w:rPr>
      <w:rFonts w:eastAsia="黑体"/>
      <w:b/>
      <w:bCs/>
      <w:color w:val="000000"/>
      <w:kern w:val="44"/>
      <w:sz w:val="30"/>
      <w:szCs w:val="30"/>
    </w:rPr>
  </w:style>
  <w:style w:type="character" w:customStyle="1" w:styleId="152">
    <w:name w:val="font61"/>
    <w:qFormat/>
    <w:uiPriority w:val="0"/>
    <w:rPr>
      <w:rFonts w:hint="default" w:ascii="Times New Roman" w:hAnsi="Times New Roman" w:cs="Times New Roman"/>
      <w:color w:val="auto"/>
      <w:sz w:val="21"/>
      <w:szCs w:val="21"/>
      <w:u w:val="none"/>
    </w:rPr>
  </w:style>
  <w:style w:type="character" w:customStyle="1" w:styleId="153">
    <w:name w:val="题注 + 黑体 五号 Char Char"/>
    <w:link w:val="154"/>
    <w:qFormat/>
    <w:uiPriority w:val="0"/>
    <w:rPr>
      <w:rFonts w:ascii="黑体" w:hAnsi="黑体" w:eastAsia="黑体" w:cs="Arial"/>
      <w:color w:val="51585D"/>
      <w:kern w:val="2"/>
      <w:sz w:val="21"/>
      <w:szCs w:val="21"/>
    </w:rPr>
  </w:style>
  <w:style w:type="paragraph" w:customStyle="1" w:styleId="154">
    <w:name w:val="题注 + 黑体 五号"/>
    <w:basedOn w:val="13"/>
    <w:link w:val="153"/>
    <w:qFormat/>
    <w:uiPriority w:val="0"/>
    <w:pPr>
      <w:widowControl/>
      <w:adjustRightInd w:val="0"/>
      <w:snapToGrid w:val="0"/>
      <w:jc w:val="center"/>
    </w:pPr>
    <w:rPr>
      <w:rFonts w:ascii="黑体" w:hAnsi="黑体"/>
      <w:color w:val="51585D"/>
      <w:sz w:val="21"/>
      <w:szCs w:val="21"/>
    </w:rPr>
  </w:style>
  <w:style w:type="character" w:customStyle="1" w:styleId="155">
    <w:name w:val="纯文本 Char1"/>
    <w:qFormat/>
    <w:uiPriority w:val="0"/>
    <w:rPr>
      <w:rFonts w:ascii="宋体" w:hAnsi="Courier New" w:eastAsia="宋体" w:cs="Courier New"/>
      <w:sz w:val="21"/>
      <w:szCs w:val="21"/>
    </w:rPr>
  </w:style>
  <w:style w:type="character" w:customStyle="1" w:styleId="156">
    <w:name w:val="表正文 Char1"/>
    <w:qFormat/>
    <w:uiPriority w:val="0"/>
    <w:rPr>
      <w:rFonts w:eastAsia="宋体"/>
      <w:lang w:val="en-US" w:eastAsia="zh-CN" w:bidi="ar-SA"/>
    </w:rPr>
  </w:style>
  <w:style w:type="character" w:customStyle="1" w:styleId="157">
    <w:name w:val="报告表正文 Char"/>
    <w:link w:val="149"/>
    <w:qFormat/>
    <w:uiPriority w:val="0"/>
    <w:rPr>
      <w:rFonts w:hAnsi="宋体"/>
      <w:sz w:val="24"/>
      <w:szCs w:val="24"/>
      <w:lang w:bidi="en-US"/>
    </w:rPr>
  </w:style>
  <w:style w:type="character" w:customStyle="1" w:styleId="158">
    <w:name w:val="普通文字 Char Char3"/>
    <w:qFormat/>
    <w:uiPriority w:val="0"/>
    <w:rPr>
      <w:rFonts w:ascii="宋体" w:hAnsi="Courier New" w:eastAsia="宋体" w:cs="宋体"/>
      <w:kern w:val="2"/>
      <w:sz w:val="21"/>
      <w:szCs w:val="21"/>
      <w:lang w:val="en-US" w:eastAsia="zh-CN" w:bidi="ar-SA"/>
    </w:rPr>
  </w:style>
  <w:style w:type="character" w:customStyle="1" w:styleId="159">
    <w:name w:val="表内格式 Char"/>
    <w:link w:val="160"/>
    <w:qFormat/>
    <w:uiPriority w:val="0"/>
    <w:rPr>
      <w:rFonts w:ascii="宋体"/>
      <w:kern w:val="2"/>
      <w:sz w:val="18"/>
    </w:rPr>
  </w:style>
  <w:style w:type="paragraph" w:customStyle="1" w:styleId="160">
    <w:name w:val="表内格式"/>
    <w:basedOn w:val="1"/>
    <w:link w:val="159"/>
    <w:qFormat/>
    <w:uiPriority w:val="0"/>
    <w:pPr>
      <w:spacing w:line="280" w:lineRule="exact"/>
      <w:jc w:val="center"/>
    </w:pPr>
    <w:rPr>
      <w:rFonts w:ascii="宋体"/>
      <w:sz w:val="18"/>
      <w:szCs w:val="20"/>
    </w:rPr>
  </w:style>
  <w:style w:type="character" w:customStyle="1" w:styleId="161">
    <w:name w:val="编制日期"/>
    <w:semiHidden/>
    <w:qFormat/>
    <w:uiPriority w:val="0"/>
    <w:rPr>
      <w:rFonts w:ascii="Verdana" w:hAnsi="Verdana" w:eastAsia="黑体"/>
      <w:sz w:val="30"/>
    </w:rPr>
  </w:style>
  <w:style w:type="character" w:customStyle="1" w:styleId="162">
    <w:name w:val="表格内容 Char"/>
    <w:qFormat/>
    <w:uiPriority w:val="0"/>
    <w:rPr>
      <w:rFonts w:eastAsia="华文楷体"/>
      <w:sz w:val="21"/>
      <w:szCs w:val="21"/>
      <w:lang w:val="en-US" w:eastAsia="zh-CN" w:bidi="en-US"/>
    </w:rPr>
  </w:style>
  <w:style w:type="character" w:customStyle="1" w:styleId="163">
    <w:name w:val="Char Char17"/>
    <w:qFormat/>
    <w:uiPriority w:val="0"/>
    <w:rPr>
      <w:rFonts w:eastAsia="宋体"/>
      <w:lang w:val="en-US" w:eastAsia="zh-CN" w:bidi="ar-SA"/>
    </w:rPr>
  </w:style>
  <w:style w:type="character" w:customStyle="1" w:styleId="164">
    <w:name w:val="8 Char1"/>
    <w:link w:val="165"/>
    <w:qFormat/>
    <w:uiPriority w:val="0"/>
    <w:rPr>
      <w:kern w:val="10"/>
      <w:sz w:val="24"/>
      <w:szCs w:val="24"/>
    </w:rPr>
  </w:style>
  <w:style w:type="paragraph" w:customStyle="1" w:styleId="165">
    <w:name w:val="8"/>
    <w:basedOn w:val="1"/>
    <w:link w:val="164"/>
    <w:qFormat/>
    <w:uiPriority w:val="0"/>
    <w:pPr>
      <w:spacing w:line="360" w:lineRule="auto"/>
      <w:ind w:firstLine="480" w:firstLineChars="200"/>
    </w:pPr>
    <w:rPr>
      <w:kern w:val="10"/>
      <w:sz w:val="24"/>
    </w:rPr>
  </w:style>
  <w:style w:type="character" w:customStyle="1" w:styleId="166">
    <w:name w:val="表头样式1 Char1"/>
    <w:link w:val="167"/>
    <w:qFormat/>
    <w:uiPriority w:val="0"/>
    <w:rPr>
      <w:rFonts w:eastAsia="黑体"/>
      <w:b/>
      <w:kern w:val="2"/>
      <w:sz w:val="24"/>
    </w:rPr>
  </w:style>
  <w:style w:type="paragraph" w:customStyle="1" w:styleId="167">
    <w:name w:val="表头样式1"/>
    <w:basedOn w:val="1"/>
    <w:link w:val="166"/>
    <w:qFormat/>
    <w:uiPriority w:val="0"/>
    <w:pPr>
      <w:spacing w:after="80" w:line="480" w:lineRule="atLeast"/>
      <w:jc w:val="center"/>
    </w:pPr>
    <w:rPr>
      <w:rFonts w:eastAsia="黑体"/>
      <w:b/>
      <w:sz w:val="24"/>
      <w:szCs w:val="20"/>
    </w:rPr>
  </w:style>
  <w:style w:type="character" w:customStyle="1" w:styleId="168">
    <w:name w:val="题注 字符1"/>
    <w:qFormat/>
    <w:uiPriority w:val="0"/>
    <w:rPr>
      <w:rFonts w:ascii="Arial" w:hAnsi="Arial" w:eastAsia="黑体" w:cs="Arial"/>
      <w:kern w:val="2"/>
      <w:lang w:val="en-US" w:eastAsia="zh-CN" w:bidi="ar-SA"/>
    </w:rPr>
  </w:style>
  <w:style w:type="character" w:customStyle="1" w:styleId="169">
    <w:name w:val="3级题目 Char"/>
    <w:link w:val="170"/>
    <w:qFormat/>
    <w:uiPriority w:val="0"/>
    <w:rPr>
      <w:rFonts w:hAnsi="华文楷体" w:eastAsia="华文楷体"/>
      <w:b/>
      <w:sz w:val="24"/>
      <w:szCs w:val="24"/>
      <w:lang w:bidi="en-US"/>
    </w:rPr>
  </w:style>
  <w:style w:type="paragraph" w:customStyle="1" w:styleId="170">
    <w:name w:val="3级题目"/>
    <w:basedOn w:val="1"/>
    <w:next w:val="149"/>
    <w:link w:val="169"/>
    <w:qFormat/>
    <w:uiPriority w:val="0"/>
    <w:pPr>
      <w:widowControl/>
      <w:spacing w:line="460" w:lineRule="exact"/>
      <w:ind w:firstLine="200" w:firstLineChars="200"/>
      <w:jc w:val="left"/>
    </w:pPr>
    <w:rPr>
      <w:rFonts w:hAnsi="华文楷体" w:eastAsia="华文楷体"/>
      <w:b/>
      <w:kern w:val="0"/>
      <w:sz w:val="24"/>
      <w:lang w:bidi="en-US"/>
    </w:rPr>
  </w:style>
  <w:style w:type="character" w:customStyle="1" w:styleId="171">
    <w:name w:val="君邦正文 Char Char"/>
    <w:link w:val="172"/>
    <w:qFormat/>
    <w:uiPriority w:val="0"/>
    <w:rPr>
      <w:rFonts w:ascii="宋体" w:hAnsi="宋体" w:eastAsia="Times New Roman"/>
      <w:bCs/>
      <w:snapToGrid w:val="0"/>
      <w:sz w:val="24"/>
    </w:rPr>
  </w:style>
  <w:style w:type="paragraph" w:customStyle="1" w:styleId="172">
    <w:name w:val="君邦正文"/>
    <w:link w:val="171"/>
    <w:qFormat/>
    <w:uiPriority w:val="0"/>
    <w:pPr>
      <w:spacing w:after="60" w:line="360" w:lineRule="auto"/>
      <w:ind w:firstLine="480" w:firstLineChars="200"/>
      <w:jc w:val="both"/>
    </w:pPr>
    <w:rPr>
      <w:rFonts w:ascii="宋体" w:hAnsi="宋体" w:eastAsia="Times New Roman" w:cs="Times New Roman"/>
      <w:bCs/>
      <w:snapToGrid w:val="0"/>
      <w:sz w:val="24"/>
      <w:lang w:val="en-US" w:eastAsia="zh-CN" w:bidi="ar-SA"/>
    </w:rPr>
  </w:style>
  <w:style w:type="character" w:customStyle="1" w:styleId="173">
    <w:name w:val="Char Char8"/>
    <w:qFormat/>
    <w:uiPriority w:val="0"/>
    <w:rPr>
      <w:rFonts w:ascii="Arial" w:hAnsi="Arial" w:eastAsia="黑体" w:cs="Arial"/>
    </w:rPr>
  </w:style>
  <w:style w:type="paragraph" w:customStyle="1" w:styleId="174">
    <w:name w:val="样式5"/>
    <w:basedOn w:val="4"/>
    <w:qFormat/>
    <w:uiPriority w:val="0"/>
    <w:pPr>
      <w:snapToGrid w:val="0"/>
      <w:spacing w:line="490" w:lineRule="exact"/>
      <w:ind w:firstLine="560" w:firstLineChars="200"/>
    </w:pPr>
    <w:rPr>
      <w:rFonts w:eastAsia="仿宋_GB2312"/>
      <w:sz w:val="28"/>
      <w:szCs w:val="24"/>
    </w:rPr>
  </w:style>
  <w:style w:type="paragraph" w:customStyle="1" w:styleId="175">
    <w:name w:val="表格正文"/>
    <w:basedOn w:val="1"/>
    <w:next w:val="1"/>
    <w:qFormat/>
    <w:uiPriority w:val="0"/>
    <w:pPr>
      <w:adjustRightInd w:val="0"/>
      <w:snapToGrid w:val="0"/>
      <w:jc w:val="center"/>
      <w:textAlignment w:val="baseline"/>
    </w:pPr>
    <w:rPr>
      <w:rFonts w:ascii="宋体"/>
      <w:snapToGrid w:val="0"/>
      <w:spacing w:val="4"/>
      <w:w w:val="90"/>
      <w:kern w:val="0"/>
      <w:sz w:val="24"/>
    </w:rPr>
  </w:style>
  <w:style w:type="paragraph" w:customStyle="1" w:styleId="176">
    <w:name w:val="CM49"/>
    <w:basedOn w:val="110"/>
    <w:next w:val="110"/>
    <w:qFormat/>
    <w:uiPriority w:val="0"/>
    <w:rPr>
      <w:rFonts w:cs="Times New Roman"/>
      <w:color w:val="auto"/>
    </w:rPr>
  </w:style>
  <w:style w:type="paragraph" w:customStyle="1" w:styleId="177">
    <w:name w:val="CM3"/>
    <w:basedOn w:val="110"/>
    <w:next w:val="110"/>
    <w:qFormat/>
    <w:uiPriority w:val="0"/>
    <w:pPr>
      <w:spacing w:line="466" w:lineRule="atLeast"/>
    </w:pPr>
    <w:rPr>
      <w:rFonts w:cs="Times New Roman"/>
      <w:color w:val="auto"/>
    </w:rPr>
  </w:style>
  <w:style w:type="paragraph" w:customStyle="1" w:styleId="178">
    <w:name w:val="CM4"/>
    <w:basedOn w:val="110"/>
    <w:next w:val="110"/>
    <w:qFormat/>
    <w:uiPriority w:val="0"/>
    <w:pPr>
      <w:spacing w:line="466" w:lineRule="atLeast"/>
    </w:pPr>
    <w:rPr>
      <w:rFonts w:ascii="黑体" w:eastAsia="黑体" w:cs="Times New Roman"/>
      <w:color w:val="auto"/>
    </w:rPr>
  </w:style>
  <w:style w:type="paragraph" w:customStyle="1" w:styleId="179">
    <w:name w:val="1"/>
    <w:basedOn w:val="1"/>
    <w:next w:val="39"/>
    <w:qFormat/>
    <w:uiPriority w:val="0"/>
    <w:pPr>
      <w:widowControl/>
      <w:spacing w:before="100" w:beforeAutospacing="1" w:after="100" w:afterAutospacing="1"/>
      <w:jc w:val="left"/>
    </w:pPr>
    <w:rPr>
      <w:rFonts w:ascii="宋体" w:hAnsi="宋体"/>
      <w:kern w:val="0"/>
      <w:sz w:val="24"/>
    </w:rPr>
  </w:style>
  <w:style w:type="paragraph" w:customStyle="1" w:styleId="180">
    <w:name w:val="样式1"/>
    <w:basedOn w:val="1"/>
    <w:qFormat/>
    <w:uiPriority w:val="0"/>
    <w:pPr>
      <w:spacing w:after="40" w:line="300" w:lineRule="atLeast"/>
      <w:jc w:val="center"/>
      <w:outlineLvl w:val="2"/>
    </w:pPr>
    <w:rPr>
      <w:rFonts w:eastAsia="楷体_GB2312"/>
      <w:szCs w:val="20"/>
    </w:rPr>
  </w:style>
  <w:style w:type="paragraph" w:customStyle="1" w:styleId="181">
    <w:name w:val="CM11"/>
    <w:basedOn w:val="110"/>
    <w:next w:val="110"/>
    <w:qFormat/>
    <w:uiPriority w:val="0"/>
    <w:pPr>
      <w:spacing w:line="468" w:lineRule="atLeast"/>
    </w:pPr>
    <w:rPr>
      <w:rFonts w:cs="Times New Roman"/>
      <w:color w:val="auto"/>
    </w:rPr>
  </w:style>
  <w:style w:type="paragraph" w:customStyle="1" w:styleId="182">
    <w:name w:val="样式 小四 行距: 1.5 倍行距"/>
    <w:basedOn w:val="1"/>
    <w:qFormat/>
    <w:uiPriority w:val="0"/>
    <w:pPr>
      <w:spacing w:line="360" w:lineRule="auto"/>
      <w:ind w:firstLine="540" w:firstLineChars="225"/>
    </w:pPr>
    <w:rPr>
      <w:rFonts w:cs="宋体"/>
      <w:sz w:val="24"/>
      <w:szCs w:val="20"/>
    </w:rPr>
  </w:style>
  <w:style w:type="paragraph" w:customStyle="1" w:styleId="183">
    <w:name w:val="样式3"/>
    <w:basedOn w:val="1"/>
    <w:qFormat/>
    <w:uiPriority w:val="0"/>
    <w:pPr>
      <w:spacing w:line="360" w:lineRule="auto"/>
    </w:pPr>
    <w:rPr>
      <w:sz w:val="24"/>
    </w:rPr>
  </w:style>
  <w:style w:type="paragraph" w:customStyle="1" w:styleId="184">
    <w:name w:val="列出段落1"/>
    <w:basedOn w:val="1"/>
    <w:qFormat/>
    <w:uiPriority w:val="0"/>
    <w:pPr>
      <w:ind w:firstLine="420" w:firstLineChars="200"/>
    </w:pPr>
    <w:rPr>
      <w:szCs w:val="21"/>
    </w:rPr>
  </w:style>
  <w:style w:type="paragraph" w:customStyle="1" w:styleId="185">
    <w:name w:val="样式 样式 正文 + 仿宋_GB2312 自动设置 首行缩进:  2 字符"/>
    <w:basedOn w:val="1"/>
    <w:qFormat/>
    <w:uiPriority w:val="0"/>
    <w:pPr>
      <w:adjustRightInd w:val="0"/>
      <w:snapToGrid w:val="0"/>
      <w:spacing w:line="360" w:lineRule="auto"/>
      <w:ind w:firstLine="480" w:firstLineChars="200"/>
    </w:pPr>
    <w:rPr>
      <w:rFonts w:ascii="宋体" w:hAnsi="宋体" w:cs="宋体"/>
      <w:sz w:val="24"/>
      <w:szCs w:val="20"/>
    </w:rPr>
  </w:style>
  <w:style w:type="paragraph" w:customStyle="1" w:styleId="186">
    <w:name w:val="Char Char Char Char Char Char Char Char Char"/>
    <w:basedOn w:val="1"/>
    <w:qFormat/>
    <w:uiPriority w:val="0"/>
    <w:pPr>
      <w:spacing w:line="360" w:lineRule="auto"/>
    </w:pPr>
    <w:rPr>
      <w:rFonts w:ascii="Tahoma" w:hAnsi="Tahoma"/>
      <w:sz w:val="24"/>
      <w:szCs w:val="20"/>
    </w:rPr>
  </w:style>
  <w:style w:type="paragraph" w:customStyle="1" w:styleId="187">
    <w:name w:val="reader-word-layer reader-word-s20-7"/>
    <w:basedOn w:val="1"/>
    <w:qFormat/>
    <w:uiPriority w:val="0"/>
    <w:pPr>
      <w:widowControl/>
      <w:spacing w:before="100" w:beforeAutospacing="1" w:after="100" w:afterAutospacing="1"/>
      <w:jc w:val="left"/>
    </w:pPr>
    <w:rPr>
      <w:rFonts w:ascii="宋体" w:hAnsi="宋体" w:cs="宋体"/>
      <w:kern w:val="0"/>
      <w:sz w:val="24"/>
    </w:rPr>
  </w:style>
  <w:style w:type="paragraph" w:customStyle="1" w:styleId="188">
    <w:name w:val="CM52"/>
    <w:basedOn w:val="110"/>
    <w:next w:val="110"/>
    <w:qFormat/>
    <w:uiPriority w:val="0"/>
    <w:rPr>
      <w:rFonts w:cs="Times New Roman"/>
      <w:color w:val="auto"/>
    </w:rPr>
  </w:style>
  <w:style w:type="paragraph" w:customStyle="1" w:styleId="189">
    <w:name w:val="默认段落字体 Para Char Char Char Char"/>
    <w:basedOn w:val="1"/>
    <w:qFormat/>
    <w:uiPriority w:val="0"/>
  </w:style>
  <w:style w:type="paragraph" w:customStyle="1" w:styleId="190">
    <w:name w:val="默认段落字体 Para Char Char Char Char Char Char Char Char Char Char Char Char Char1 Char"/>
    <w:basedOn w:val="14"/>
    <w:qFormat/>
    <w:uiPriority w:val="0"/>
    <w:pPr>
      <w:shd w:val="clear" w:color="auto" w:fill="000080"/>
      <w:adjustRightInd w:val="0"/>
      <w:snapToGrid w:val="0"/>
      <w:spacing w:line="360" w:lineRule="auto"/>
    </w:pPr>
    <w:rPr>
      <w:rFonts w:ascii="Tahoma" w:hAnsi="Tahoma" w:eastAsia="仿宋_GB2312"/>
      <w:sz w:val="28"/>
      <w:szCs w:val="24"/>
    </w:rPr>
  </w:style>
  <w:style w:type="paragraph" w:customStyle="1" w:styleId="191">
    <w:name w:val="默认段落字体 Para Char Char Char Char Char Char Char Char Char Char Char Char Char Char Char Char Char"/>
    <w:basedOn w:val="1"/>
    <w:qFormat/>
    <w:uiPriority w:val="0"/>
    <w:rPr>
      <w:rFonts w:ascii="Tahoma" w:hAnsi="Tahoma"/>
      <w:sz w:val="24"/>
      <w:szCs w:val="20"/>
    </w:rPr>
  </w:style>
  <w:style w:type="paragraph" w:customStyle="1" w:styleId="192">
    <w:name w:val="Char Char Char Char Char Char Char Char Char Char"/>
    <w:basedOn w:val="1"/>
    <w:qFormat/>
    <w:uiPriority w:val="0"/>
  </w:style>
  <w:style w:type="paragraph" w:customStyle="1" w:styleId="193">
    <w:name w:val="introtxt"/>
    <w:basedOn w:val="1"/>
    <w:qFormat/>
    <w:uiPriority w:val="0"/>
    <w:pPr>
      <w:widowControl/>
      <w:spacing w:before="100" w:beforeAutospacing="1" w:after="100" w:afterAutospacing="1" w:line="375" w:lineRule="atLeast"/>
      <w:jc w:val="left"/>
    </w:pPr>
    <w:rPr>
      <w:rFonts w:ascii="Tahoma" w:hAnsi="Tahoma" w:cs="Tahoma"/>
      <w:color w:val="0000FF"/>
      <w:kern w:val="0"/>
      <w:sz w:val="20"/>
      <w:szCs w:val="20"/>
    </w:rPr>
  </w:style>
  <w:style w:type="paragraph" w:customStyle="1" w:styleId="194">
    <w:name w:val="样式 标题 3条标题1.1.13h33rd levelH3l3CT段物探标题3 Char Char Char ..."/>
    <w:basedOn w:val="5"/>
    <w:qFormat/>
    <w:uiPriority w:val="0"/>
    <w:pPr>
      <w:tabs>
        <w:tab w:val="left" w:pos="1352"/>
      </w:tabs>
      <w:adjustRightInd w:val="0"/>
      <w:snapToGrid w:val="0"/>
      <w:spacing w:before="0" w:after="0" w:line="360" w:lineRule="auto"/>
      <w:ind w:left="1352" w:hanging="720"/>
      <w:jc w:val="left"/>
    </w:pPr>
    <w:rPr>
      <w:rFonts w:eastAsia="黑体" w:cs="宋体"/>
      <w:b w:val="0"/>
      <w:bCs w:val="0"/>
      <w:color w:val="000000"/>
      <w:szCs w:val="20"/>
    </w:rPr>
  </w:style>
  <w:style w:type="paragraph" w:customStyle="1" w:styleId="195">
    <w:name w:val="CM50"/>
    <w:basedOn w:val="110"/>
    <w:next w:val="110"/>
    <w:qFormat/>
    <w:uiPriority w:val="0"/>
    <w:rPr>
      <w:rFonts w:ascii="黑体" w:eastAsia="黑体" w:cs="Times New Roman"/>
      <w:color w:val="auto"/>
    </w:rPr>
  </w:style>
  <w:style w:type="paragraph" w:customStyle="1" w:styleId="196">
    <w:name w:val="CM34"/>
    <w:basedOn w:val="110"/>
    <w:next w:val="110"/>
    <w:qFormat/>
    <w:uiPriority w:val="0"/>
    <w:rPr>
      <w:rFonts w:cs="Times New Roman"/>
      <w:color w:val="auto"/>
    </w:rPr>
  </w:style>
  <w:style w:type="paragraph" w:customStyle="1" w:styleId="197">
    <w:name w:val="默认段落字体 Para Char Char Char Char Char Char Char Char Char Char Char"/>
    <w:basedOn w:val="5"/>
    <w:qFormat/>
    <w:uiPriority w:val="0"/>
    <w:pPr>
      <w:keepNext w:val="0"/>
      <w:keepLines w:val="0"/>
      <w:tabs>
        <w:tab w:val="left" w:pos="360"/>
        <w:tab w:val="left" w:pos="900"/>
      </w:tabs>
      <w:snapToGrid w:val="0"/>
      <w:spacing w:before="120" w:after="120" w:line="360" w:lineRule="auto"/>
      <w:ind w:left="542" w:leftChars="-12" w:firstLine="200" w:firstLineChars="200"/>
    </w:pPr>
    <w:rPr>
      <w:rFonts w:ascii="楷体_GB2312" w:eastAsia="黑体"/>
      <w:b w:val="0"/>
      <w:bCs w:val="0"/>
      <w:snapToGrid w:val="0"/>
      <w:sz w:val="24"/>
      <w:szCs w:val="24"/>
    </w:rPr>
  </w:style>
  <w:style w:type="paragraph" w:customStyle="1" w:styleId="198">
    <w:name w:val="reader-word-layer reader-word-s20-8"/>
    <w:basedOn w:val="1"/>
    <w:qFormat/>
    <w:uiPriority w:val="0"/>
    <w:pPr>
      <w:widowControl/>
      <w:spacing w:before="100" w:beforeAutospacing="1" w:after="100" w:afterAutospacing="1"/>
      <w:jc w:val="left"/>
    </w:pPr>
    <w:rPr>
      <w:rFonts w:ascii="宋体" w:hAnsi="宋体" w:cs="宋体"/>
      <w:kern w:val="0"/>
      <w:sz w:val="24"/>
    </w:rPr>
  </w:style>
  <w:style w:type="paragraph" w:customStyle="1" w:styleId="199">
    <w:name w:val="Char Char Char Char Char Char"/>
    <w:basedOn w:val="1"/>
    <w:qFormat/>
    <w:uiPriority w:val="0"/>
    <w:pPr>
      <w:spacing w:line="360" w:lineRule="auto"/>
      <w:ind w:firstLine="200" w:firstLineChars="200"/>
    </w:pPr>
    <w:rPr>
      <w:rFonts w:ascii="宋体" w:hAnsi="宋体" w:cs="宋体"/>
      <w:sz w:val="24"/>
    </w:rPr>
  </w:style>
  <w:style w:type="paragraph" w:customStyle="1" w:styleId="200">
    <w:name w:val="gg_body"/>
    <w:basedOn w:val="1"/>
    <w:qFormat/>
    <w:uiPriority w:val="0"/>
    <w:pPr>
      <w:widowControl/>
      <w:spacing w:line="460" w:lineRule="exact"/>
      <w:ind w:firstLine="200"/>
      <w:jc w:val="left"/>
    </w:pPr>
    <w:rPr>
      <w:rFonts w:ascii="宋体" w:hAnsi="宋体" w:cs="宋体"/>
      <w:kern w:val="0"/>
      <w:sz w:val="24"/>
    </w:rPr>
  </w:style>
  <w:style w:type="paragraph" w:customStyle="1" w:styleId="201">
    <w:name w:val="Char4 Char Char Char Char Char Char1"/>
    <w:basedOn w:val="1"/>
    <w:qFormat/>
    <w:uiPriority w:val="0"/>
    <w:pPr>
      <w:spacing w:line="360" w:lineRule="auto"/>
      <w:ind w:firstLine="200" w:firstLineChars="200"/>
    </w:pPr>
  </w:style>
  <w:style w:type="paragraph" w:customStyle="1" w:styleId="202">
    <w:name w:val="样式 表内字体 + 五号"/>
    <w:basedOn w:val="1"/>
    <w:qFormat/>
    <w:uiPriority w:val="0"/>
    <w:pPr>
      <w:adjustRightInd w:val="0"/>
      <w:snapToGrid w:val="0"/>
      <w:jc w:val="center"/>
      <w:textAlignment w:val="baseline"/>
    </w:pPr>
    <w:rPr>
      <w:kern w:val="0"/>
      <w:szCs w:val="18"/>
    </w:rPr>
  </w:style>
  <w:style w:type="paragraph" w:customStyle="1" w:styleId="203">
    <w:name w:val="xl28"/>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Wonder Arial"/>
      <w:kern w:val="0"/>
      <w:sz w:val="24"/>
    </w:rPr>
  </w:style>
  <w:style w:type="paragraph" w:customStyle="1" w:styleId="204">
    <w:name w:val="Char Char Char Char"/>
    <w:basedOn w:val="1"/>
    <w:qFormat/>
    <w:uiPriority w:val="0"/>
  </w:style>
  <w:style w:type="paragraph" w:customStyle="1" w:styleId="205">
    <w:name w:val="Char3 Char Char Char Char Char Char"/>
    <w:basedOn w:val="5"/>
    <w:qFormat/>
    <w:uiPriority w:val="0"/>
    <w:pPr>
      <w:tabs>
        <w:tab w:val="left" w:pos="360"/>
        <w:tab w:val="left" w:pos="900"/>
      </w:tabs>
      <w:snapToGrid w:val="0"/>
      <w:spacing w:before="120" w:after="120" w:line="360" w:lineRule="auto"/>
      <w:ind w:left="542" w:leftChars="-12" w:firstLine="200" w:firstLineChars="200"/>
    </w:pPr>
    <w:rPr>
      <w:rFonts w:eastAsia="黑体"/>
      <w:b w:val="0"/>
      <w:bCs w:val="0"/>
      <w:snapToGrid w:val="0"/>
      <w:sz w:val="24"/>
      <w:szCs w:val="24"/>
    </w:rPr>
  </w:style>
  <w:style w:type="paragraph" w:customStyle="1" w:styleId="206">
    <w:name w:val="CM48"/>
    <w:basedOn w:val="110"/>
    <w:next w:val="110"/>
    <w:qFormat/>
    <w:uiPriority w:val="0"/>
    <w:rPr>
      <w:rFonts w:cs="Times New Roman"/>
      <w:color w:val="auto"/>
    </w:rPr>
  </w:style>
  <w:style w:type="paragraph" w:customStyle="1" w:styleId="207">
    <w:name w:val="CM1"/>
    <w:basedOn w:val="110"/>
    <w:next w:val="110"/>
    <w:qFormat/>
    <w:uiPriority w:val="0"/>
    <w:rPr>
      <w:rFonts w:cs="Times New Roman"/>
      <w:color w:val="auto"/>
    </w:rPr>
  </w:style>
  <w:style w:type="paragraph" w:customStyle="1" w:styleId="208">
    <w:name w:val="Char1 Char Char Char Char Char Char"/>
    <w:basedOn w:val="1"/>
    <w:qFormat/>
    <w:uiPriority w:val="0"/>
  </w:style>
  <w:style w:type="paragraph" w:customStyle="1" w:styleId="209">
    <w:name w:val="Char Char Char Char1"/>
    <w:basedOn w:val="1"/>
    <w:qFormat/>
    <w:uiPriority w:val="0"/>
    <w:rPr>
      <w:rFonts w:ascii="Tahoma" w:hAnsi="Tahoma"/>
      <w:sz w:val="24"/>
      <w:szCs w:val="20"/>
    </w:rPr>
  </w:style>
  <w:style w:type="paragraph" w:customStyle="1" w:styleId="210">
    <w:name w:val="p0"/>
    <w:basedOn w:val="1"/>
    <w:qFormat/>
    <w:uiPriority w:val="0"/>
    <w:pPr>
      <w:widowControl/>
    </w:pPr>
    <w:rPr>
      <w:kern w:val="0"/>
      <w:szCs w:val="21"/>
    </w:rPr>
  </w:style>
  <w:style w:type="paragraph" w:customStyle="1" w:styleId="211">
    <w:name w:val="Char"/>
    <w:basedOn w:val="1"/>
    <w:qFormat/>
    <w:uiPriority w:val="0"/>
    <w:pPr>
      <w:pageBreakBefore/>
    </w:pPr>
  </w:style>
  <w:style w:type="paragraph" w:customStyle="1" w:styleId="212">
    <w:name w:val="二级标题"/>
    <w:basedOn w:val="3"/>
    <w:qFormat/>
    <w:uiPriority w:val="0"/>
    <w:pPr>
      <w:spacing w:before="50" w:after="120" w:line="480" w:lineRule="exact"/>
    </w:pPr>
    <w:rPr>
      <w:rFonts w:ascii="Times New Roman" w:hAnsi="Times New Roman" w:eastAsia="宋体"/>
      <w:sz w:val="28"/>
      <w:szCs w:val="30"/>
    </w:rPr>
  </w:style>
  <w:style w:type="paragraph" w:customStyle="1" w:styleId="213">
    <w:name w:val="胡奔流-标题4"/>
    <w:basedOn w:val="1"/>
    <w:semiHidden/>
    <w:qFormat/>
    <w:uiPriority w:val="0"/>
    <w:pPr>
      <w:adjustRightInd w:val="0"/>
      <w:snapToGrid w:val="0"/>
      <w:spacing w:before="240" w:after="240" w:line="360" w:lineRule="auto"/>
      <w:ind w:firstLine="510"/>
      <w:textAlignment w:val="baseline"/>
    </w:pPr>
    <w:rPr>
      <w:rFonts w:ascii="宋体"/>
      <w:snapToGrid w:val="0"/>
      <w:spacing w:val="10"/>
      <w:kern w:val="0"/>
      <w:sz w:val="24"/>
    </w:rPr>
  </w:style>
  <w:style w:type="paragraph" w:customStyle="1" w:styleId="214">
    <w:name w:val="CM33"/>
    <w:basedOn w:val="110"/>
    <w:next w:val="110"/>
    <w:qFormat/>
    <w:uiPriority w:val="0"/>
    <w:rPr>
      <w:rFonts w:cs="Times New Roman"/>
      <w:color w:val="auto"/>
    </w:rPr>
  </w:style>
  <w:style w:type="paragraph" w:customStyle="1" w:styleId="215">
    <w:name w:val="样式2"/>
    <w:basedOn w:val="180"/>
    <w:qFormat/>
    <w:uiPriority w:val="0"/>
    <w:pPr>
      <w:adjustRightInd w:val="0"/>
      <w:spacing w:after="0" w:line="360" w:lineRule="auto"/>
      <w:textAlignment w:val="baseline"/>
      <w:outlineLvl w:val="9"/>
    </w:pPr>
    <w:rPr>
      <w:kern w:val="28"/>
      <w:szCs w:val="21"/>
    </w:rPr>
  </w:style>
  <w:style w:type="paragraph" w:customStyle="1" w:styleId="216">
    <w:name w:val="TOC 标题1"/>
    <w:basedOn w:val="2"/>
    <w:next w:val="1"/>
    <w:qFormat/>
    <w:uiPriority w:val="39"/>
    <w:pPr>
      <w:keepLines/>
      <w:widowControl/>
      <w:overflowPunct/>
      <w:snapToGrid/>
      <w:spacing w:before="240" w:after="0"/>
      <w:ind w:left="0" w:firstLine="0"/>
      <w:jc w:val="left"/>
      <w:outlineLvl w:val="9"/>
    </w:pPr>
    <w:rPr>
      <w:rFonts w:ascii="等线 Light" w:hAnsi="等线 Light" w:eastAsia="等线 Light"/>
      <w:b w:val="0"/>
      <w:bCs w:val="0"/>
      <w:color w:val="2E74B5"/>
      <w:kern w:val="0"/>
      <w:sz w:val="32"/>
      <w:szCs w:val="32"/>
    </w:rPr>
  </w:style>
  <w:style w:type="paragraph" w:customStyle="1" w:styleId="217">
    <w:name w:val="CM7"/>
    <w:basedOn w:val="110"/>
    <w:next w:val="110"/>
    <w:qFormat/>
    <w:uiPriority w:val="0"/>
    <w:pPr>
      <w:spacing w:line="466" w:lineRule="atLeast"/>
    </w:pPr>
    <w:rPr>
      <w:rFonts w:cs="Times New Roman"/>
      <w:color w:val="auto"/>
    </w:rPr>
  </w:style>
  <w:style w:type="paragraph" w:customStyle="1" w:styleId="218">
    <w:name w:val="默认段落字体 Para Char"/>
    <w:basedOn w:val="1"/>
    <w:next w:val="1"/>
    <w:qFormat/>
    <w:uiPriority w:val="0"/>
    <w:pPr>
      <w:spacing w:line="360" w:lineRule="auto"/>
      <w:ind w:firstLine="200" w:firstLineChars="200"/>
    </w:pPr>
    <w:rPr>
      <w:rFonts w:ascii="宋体" w:hAnsi="宋体" w:cs="宋体"/>
      <w:sz w:val="24"/>
    </w:rPr>
  </w:style>
  <w:style w:type="paragraph" w:customStyle="1" w:styleId="219">
    <w:name w:val="CM8"/>
    <w:basedOn w:val="110"/>
    <w:next w:val="110"/>
    <w:qFormat/>
    <w:uiPriority w:val="0"/>
    <w:pPr>
      <w:spacing w:line="466" w:lineRule="atLeast"/>
    </w:pPr>
    <w:rPr>
      <w:rFonts w:cs="Times New Roman"/>
      <w:color w:val="auto"/>
    </w:rPr>
  </w:style>
  <w:style w:type="paragraph" w:customStyle="1" w:styleId="220">
    <w:name w:val="Char1"/>
    <w:basedOn w:val="1"/>
    <w:qFormat/>
    <w:uiPriority w:val="0"/>
  </w:style>
  <w:style w:type="paragraph" w:customStyle="1" w:styleId="221">
    <w:name w:val="样式 (符号) 宋体 小四 行距: 1.5 倍行距"/>
    <w:basedOn w:val="1"/>
    <w:qFormat/>
    <w:uiPriority w:val="0"/>
    <w:pPr>
      <w:spacing w:line="360" w:lineRule="auto"/>
      <w:ind w:firstLine="480" w:firstLineChars="200"/>
    </w:pPr>
    <w:rPr>
      <w:rFonts w:hAnsi="宋体" w:cs="宋体"/>
      <w:sz w:val="24"/>
      <w:szCs w:val="20"/>
    </w:rPr>
  </w:style>
  <w:style w:type="paragraph" w:customStyle="1" w:styleId="222">
    <w:name w:val="Char Char6 Char Char Char Char Char Char Char"/>
    <w:basedOn w:val="1"/>
    <w:qFormat/>
    <w:uiPriority w:val="0"/>
    <w:pPr>
      <w:spacing w:line="360" w:lineRule="auto"/>
      <w:ind w:firstLine="200" w:firstLineChars="200"/>
    </w:pPr>
    <w:rPr>
      <w:rFonts w:ascii="宋体" w:hAnsi="宋体" w:cs="宋体"/>
      <w:sz w:val="24"/>
    </w:rPr>
  </w:style>
  <w:style w:type="paragraph" w:customStyle="1" w:styleId="223">
    <w:name w:val="表文"/>
    <w:basedOn w:val="1"/>
    <w:qFormat/>
    <w:uiPriority w:val="0"/>
    <w:pPr>
      <w:overflowPunct w:val="0"/>
      <w:jc w:val="center"/>
      <w:textAlignment w:val="baseline"/>
    </w:pPr>
    <w:rPr>
      <w:sz w:val="24"/>
      <w:szCs w:val="20"/>
    </w:rPr>
  </w:style>
  <w:style w:type="character" w:customStyle="1" w:styleId="224">
    <w:name w:val="HTML 地址 字符1"/>
    <w:link w:val="20"/>
    <w:qFormat/>
    <w:uiPriority w:val="0"/>
    <w:rPr>
      <w:i/>
      <w:iCs/>
      <w:kern w:val="2"/>
      <w:sz w:val="21"/>
      <w:szCs w:val="24"/>
    </w:rPr>
  </w:style>
  <w:style w:type="paragraph" w:customStyle="1" w:styleId="225">
    <w:name w:val="Char Char Char Char Char Char Char"/>
    <w:basedOn w:val="1"/>
    <w:qFormat/>
    <w:uiPriority w:val="0"/>
    <w:rPr>
      <w:sz w:val="24"/>
    </w:rPr>
  </w:style>
  <w:style w:type="paragraph" w:customStyle="1" w:styleId="226">
    <w:name w:val="修订1"/>
    <w:hidden/>
    <w:semiHidden/>
    <w:qFormat/>
    <w:uiPriority w:val="99"/>
    <w:rPr>
      <w:rFonts w:ascii="Times New Roman" w:hAnsi="Times New Roman" w:eastAsia="宋体" w:cs="Times New Roman"/>
      <w:kern w:val="2"/>
      <w:sz w:val="21"/>
      <w:szCs w:val="24"/>
      <w:lang w:val="en-US" w:eastAsia="zh-CN" w:bidi="ar-SA"/>
    </w:rPr>
  </w:style>
  <w:style w:type="character" w:styleId="227">
    <w:name w:val="Placeholder Text"/>
    <w:unhideWhenUsed/>
    <w:qFormat/>
    <w:uiPriority w:val="99"/>
    <w:rPr>
      <w:color w:val="808080"/>
    </w:rPr>
  </w:style>
  <w:style w:type="character" w:customStyle="1" w:styleId="228">
    <w:name w:val="批注文字 Char"/>
    <w:qFormat/>
    <w:uiPriority w:val="0"/>
    <w:rPr>
      <w:kern w:val="2"/>
      <w:sz w:val="21"/>
      <w:szCs w:val="21"/>
    </w:rPr>
  </w:style>
  <w:style w:type="character" w:customStyle="1" w:styleId="229">
    <w:name w:val="题注 Char"/>
    <w:qFormat/>
    <w:uiPriority w:val="0"/>
    <w:rPr>
      <w:rFonts w:ascii="Arial" w:hAnsi="Arial" w:eastAsia="黑体" w:cs="Arial"/>
      <w:kern w:val="2"/>
      <w:lang w:val="en-US" w:eastAsia="zh-CN" w:bidi="ar-SA"/>
    </w:rPr>
  </w:style>
  <w:style w:type="paragraph" w:customStyle="1" w:styleId="230">
    <w:name w:val="3"/>
    <w:basedOn w:val="1"/>
    <w:qFormat/>
    <w:uiPriority w:val="0"/>
    <w:pPr>
      <w:tabs>
        <w:tab w:val="left" w:pos="360"/>
      </w:tabs>
      <w:spacing w:line="360" w:lineRule="auto"/>
      <w:ind w:left="482" w:firstLine="200" w:firstLineChars="200"/>
    </w:pPr>
    <w:rPr>
      <w:rFonts w:ascii="宋体"/>
      <w:sz w:val="24"/>
    </w:rPr>
  </w:style>
  <w:style w:type="paragraph" w:customStyle="1" w:styleId="231">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32">
    <w:name w:val="标题4"/>
    <w:basedOn w:val="123"/>
    <w:link w:val="233"/>
    <w:qFormat/>
    <w:uiPriority w:val="12"/>
    <w:pPr>
      <w:outlineLvl w:val="3"/>
    </w:pPr>
  </w:style>
  <w:style w:type="character" w:customStyle="1" w:styleId="233">
    <w:name w:val="标题4 字符"/>
    <w:link w:val="232"/>
    <w:qFormat/>
    <w:uiPriority w:val="12"/>
    <w:rPr>
      <w:b/>
      <w:kern w:val="2"/>
      <w:sz w:val="24"/>
      <w:szCs w:val="24"/>
    </w:rPr>
  </w:style>
  <w:style w:type="paragraph" w:customStyle="1" w:styleId="234">
    <w:name w:val="备注"/>
    <w:basedOn w:val="126"/>
    <w:link w:val="235"/>
    <w:qFormat/>
    <w:uiPriority w:val="15"/>
    <w:pPr>
      <w:spacing w:line="360" w:lineRule="auto"/>
      <w:jc w:val="left"/>
    </w:pPr>
    <w:rPr>
      <w:b/>
      <w:sz w:val="18"/>
    </w:rPr>
  </w:style>
  <w:style w:type="character" w:customStyle="1" w:styleId="235">
    <w:name w:val="备注 字符"/>
    <w:link w:val="234"/>
    <w:qFormat/>
    <w:uiPriority w:val="15"/>
    <w:rPr>
      <w:b/>
      <w:kern w:val="2"/>
      <w:sz w:val="18"/>
      <w:szCs w:val="24"/>
    </w:rPr>
  </w:style>
  <w:style w:type="paragraph" w:customStyle="1" w:styleId="236">
    <w:name w:val="WPSOffice手动目录 1"/>
    <w:qFormat/>
    <w:uiPriority w:val="0"/>
    <w:rPr>
      <w:rFonts w:ascii="Times New Roman" w:hAnsi="Times New Roman" w:eastAsia="宋体" w:cs="Times New Roman"/>
      <w:lang w:val="en-US" w:eastAsia="zh-CN" w:bidi="ar-SA"/>
    </w:rPr>
  </w:style>
  <w:style w:type="paragraph" w:customStyle="1" w:styleId="237">
    <w:name w:val="标题2"/>
    <w:basedOn w:val="3"/>
    <w:link w:val="238"/>
    <w:qFormat/>
    <w:uiPriority w:val="10"/>
    <w:pPr>
      <w:spacing w:before="0" w:after="0" w:line="360" w:lineRule="auto"/>
      <w:ind w:firstLine="200" w:firstLineChars="200"/>
    </w:pPr>
    <w:rPr>
      <w:rFonts w:ascii="Times New Roman" w:hAnsi="Times New Roman" w:eastAsia="宋体"/>
      <w:sz w:val="24"/>
    </w:rPr>
  </w:style>
  <w:style w:type="character" w:customStyle="1" w:styleId="238">
    <w:name w:val="标题2 字符"/>
    <w:link w:val="237"/>
    <w:qFormat/>
    <w:uiPriority w:val="10"/>
    <w:rPr>
      <w:b/>
      <w:bCs/>
      <w:kern w:val="2"/>
      <w:sz w:val="24"/>
      <w:szCs w:val="32"/>
    </w:rPr>
  </w:style>
  <w:style w:type="paragraph" w:customStyle="1" w:styleId="239">
    <w:name w:val="专题正文"/>
    <w:basedOn w:val="1"/>
    <w:link w:val="240"/>
    <w:qFormat/>
    <w:uiPriority w:val="8"/>
    <w:pPr>
      <w:spacing w:line="360" w:lineRule="auto"/>
      <w:ind w:firstLine="200" w:firstLineChars="200"/>
    </w:pPr>
    <w:rPr>
      <w:sz w:val="24"/>
    </w:rPr>
  </w:style>
  <w:style w:type="character" w:customStyle="1" w:styleId="240">
    <w:name w:val="专题正文 字符"/>
    <w:link w:val="239"/>
    <w:qFormat/>
    <w:uiPriority w:val="8"/>
    <w:rPr>
      <w:kern w:val="2"/>
      <w:sz w:val="24"/>
      <w:szCs w:val="24"/>
    </w:rPr>
  </w:style>
  <w:style w:type="paragraph" w:customStyle="1" w:styleId="241">
    <w:name w:val="图标标题"/>
    <w:basedOn w:val="239"/>
    <w:link w:val="242"/>
    <w:qFormat/>
    <w:uiPriority w:val="9"/>
    <w:pPr>
      <w:ind w:firstLine="0" w:firstLineChars="0"/>
      <w:jc w:val="center"/>
    </w:pPr>
    <w:rPr>
      <w:b/>
    </w:rPr>
  </w:style>
  <w:style w:type="character" w:customStyle="1" w:styleId="242">
    <w:name w:val="图标标题 字符"/>
    <w:link w:val="241"/>
    <w:qFormat/>
    <w:uiPriority w:val="9"/>
    <w:rPr>
      <w:b/>
      <w:kern w:val="2"/>
      <w:sz w:val="24"/>
      <w:szCs w:val="24"/>
    </w:rPr>
  </w:style>
  <w:style w:type="paragraph" w:customStyle="1" w:styleId="243">
    <w:name w:val="表格内"/>
    <w:basedOn w:val="239"/>
    <w:link w:val="244"/>
    <w:qFormat/>
    <w:uiPriority w:val="10"/>
    <w:pPr>
      <w:spacing w:line="240" w:lineRule="auto"/>
      <w:ind w:firstLine="0" w:firstLineChars="0"/>
      <w:jc w:val="center"/>
    </w:pPr>
  </w:style>
  <w:style w:type="character" w:customStyle="1" w:styleId="244">
    <w:name w:val="表格内 字符"/>
    <w:link w:val="243"/>
    <w:qFormat/>
    <w:uiPriority w:val="10"/>
    <w:rPr>
      <w:kern w:val="2"/>
      <w:sz w:val="24"/>
      <w:szCs w:val="24"/>
    </w:rPr>
  </w:style>
  <w:style w:type="character" w:customStyle="1" w:styleId="245">
    <w:name w:val="cf01"/>
    <w:qFormat/>
    <w:uiPriority w:val="0"/>
    <w:rPr>
      <w:rFonts w:hint="eastAsia" w:ascii="Microsoft YaHei UI" w:hAnsi="Microsoft YaHei UI" w:eastAsia="Microsoft YaHei UI"/>
      <w:sz w:val="18"/>
      <w:szCs w:val="18"/>
    </w:rPr>
  </w:style>
  <w:style w:type="paragraph" w:customStyle="1" w:styleId="246">
    <w:name w:val="文章表格"/>
    <w:basedOn w:val="1"/>
    <w:link w:val="247"/>
    <w:qFormat/>
    <w:uiPriority w:val="0"/>
    <w:pPr>
      <w:snapToGrid w:val="0"/>
      <w:jc w:val="center"/>
      <w:textAlignment w:val="center"/>
    </w:pPr>
    <w:rPr>
      <w:szCs w:val="21"/>
    </w:rPr>
  </w:style>
  <w:style w:type="character" w:customStyle="1" w:styleId="247">
    <w:name w:val="文章表格 字符"/>
    <w:link w:val="246"/>
    <w:qFormat/>
    <w:uiPriority w:val="0"/>
    <w:rPr>
      <w:kern w:val="2"/>
      <w:sz w:val="21"/>
      <w:szCs w:val="21"/>
    </w:rPr>
  </w:style>
  <w:style w:type="character" w:customStyle="1" w:styleId="248">
    <w:name w:val="bold"/>
    <w:basedOn w:val="46"/>
    <w:semiHidden/>
    <w:qFormat/>
    <w:uiPriority w:val="0"/>
  </w:style>
  <w:style w:type="character" w:customStyle="1" w:styleId="249">
    <w:name w:val="未处理的提及1"/>
    <w:semiHidden/>
    <w:unhideWhenUsed/>
    <w:qFormat/>
    <w:uiPriority w:val="99"/>
    <w:rPr>
      <w:color w:val="605E5C"/>
      <w:shd w:val="clear" w:color="auto" w:fill="E1DFDD"/>
    </w:rPr>
  </w:style>
  <w:style w:type="character" w:customStyle="1" w:styleId="250">
    <w:name w:val="sub_title2"/>
    <w:basedOn w:val="46"/>
    <w:qFormat/>
    <w:uiPriority w:val="0"/>
    <w:rPr>
      <w:rFonts w:hint="default" w:ascii="Verdana" w:hAnsi="Verdana"/>
      <w:b/>
      <w:bCs/>
      <w:sz w:val="21"/>
      <w:szCs w:val="21"/>
    </w:rPr>
  </w:style>
  <w:style w:type="paragraph" w:customStyle="1" w:styleId="251">
    <w:name w:val="Table Paragraph"/>
    <w:basedOn w:val="1"/>
    <w:qFormat/>
    <w:uiPriority w:val="1"/>
    <w:pPr>
      <w:autoSpaceDE w:val="0"/>
      <w:autoSpaceDN w:val="0"/>
      <w:jc w:val="center"/>
    </w:pPr>
    <w:rPr>
      <w:rFonts w:ascii="宋体" w:hAnsi="宋体" w:cs="宋体"/>
      <w:kern w:val="0"/>
      <w:sz w:val="22"/>
      <w:szCs w:val="22"/>
    </w:rPr>
  </w:style>
  <w:style w:type="paragraph" w:customStyle="1" w:styleId="252">
    <w:name w:val="正文1"/>
    <w:qFormat/>
    <w:uiPriority w:val="0"/>
    <w:pPr>
      <w:jc w:val="both"/>
    </w:pPr>
    <w:rPr>
      <w:rFonts w:ascii="Calibri" w:hAnsi="Calibri" w:eastAsia="宋体" w:cs="Calibri"/>
      <w:kern w:val="2"/>
      <w:sz w:val="21"/>
      <w:szCs w:val="21"/>
      <w:lang w:val="en-US" w:eastAsia="zh-CN" w:bidi="ar-SA"/>
    </w:rPr>
  </w:style>
  <w:style w:type="paragraph" w:customStyle="1" w:styleId="253">
    <w:name w:val="Char Char10 Char Char Char Char"/>
    <w:basedOn w:val="1"/>
    <w:qFormat/>
    <w:uiPriority w:val="0"/>
    <w:pPr>
      <w:tabs>
        <w:tab w:val="left" w:pos="360"/>
      </w:tabs>
      <w:spacing w:line="360" w:lineRule="auto"/>
      <w:ind w:left="482" w:firstLine="200" w:firstLineChars="200"/>
    </w:pPr>
    <w:rPr>
      <w:rFonts w:ascii="宋体"/>
      <w:sz w:val="24"/>
    </w:rPr>
  </w:style>
  <w:style w:type="paragraph" w:customStyle="1" w:styleId="254">
    <w:name w:val="Char Char10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255">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256">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7">
    <w:name w:val="cf11"/>
    <w:basedOn w:val="46"/>
    <w:qFormat/>
    <w:uiPriority w:val="0"/>
    <w:rPr>
      <w:rFonts w:hint="eastAsia" w:ascii="Microsoft YaHei UI" w:hAnsi="Microsoft YaHei UI" w:eastAsia="Microsoft YaHei UI"/>
      <w:sz w:val="18"/>
      <w:szCs w:val="18"/>
    </w:rPr>
  </w:style>
  <w:style w:type="paragraph" w:customStyle="1" w:styleId="258">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59">
    <w:name w:val="220kV正文"/>
    <w:basedOn w:val="1"/>
    <w:next w:val="1"/>
    <w:qFormat/>
    <w:uiPriority w:val="0"/>
    <w:pPr>
      <w:adjustRightInd w:val="0"/>
      <w:snapToGrid w:val="0"/>
      <w:spacing w:line="360" w:lineRule="auto"/>
      <w:ind w:firstLine="1000" w:firstLineChars="200"/>
      <w:jc w:val="left"/>
    </w:pPr>
    <w:rPr>
      <w:sz w:val="24"/>
    </w:rPr>
  </w:style>
  <w:style w:type="character" w:customStyle="1" w:styleId="260">
    <w:name w:val="君邦正文 Char1"/>
    <w:qFormat/>
    <w:uiPriority w:val="0"/>
    <w:rPr>
      <w:rFonts w:ascii="宋体" w:hAnsi="宋体" w:eastAsia="宋体" w:cs="Times New Roman"/>
      <w:bCs/>
      <w:snapToGrid w:val="0"/>
      <w:sz w:val="24"/>
      <w:lang w:val="en-US" w:eastAsia="zh-CN" w:bidi="ar-SA"/>
    </w:rPr>
  </w:style>
  <w:style w:type="paragraph" w:customStyle="1" w:styleId="261">
    <w:name w:val="表格内正文"/>
    <w:basedOn w:val="1"/>
    <w:qFormat/>
    <w:uiPriority w:val="0"/>
    <w:pPr>
      <w:spacing w:line="360" w:lineRule="auto"/>
      <w:jc w:val="center"/>
    </w:pPr>
    <w:rPr>
      <w:szCs w:val="21"/>
    </w:rPr>
  </w:style>
  <w:style w:type="paragraph" w:customStyle="1" w:styleId="262">
    <w:name w:val="C表标题"/>
    <w:basedOn w:val="1"/>
    <w:qFormat/>
    <w:uiPriority w:val="0"/>
    <w:pPr>
      <w:jc w:val="center"/>
    </w:pPr>
    <w:rPr>
      <w:b/>
    </w:rPr>
  </w:style>
  <w:style w:type="character" w:customStyle="1" w:styleId="263">
    <w:name w:val="样式 标题 2 + (西文) Times New Roman (中文) 宋体 段前: 12 磅 段后: 6 磅 行距: ... Char"/>
    <w:link w:val="264"/>
    <w:qFormat/>
    <w:uiPriority w:val="0"/>
    <w:rPr>
      <w:b/>
      <w:bCs/>
      <w:kern w:val="2"/>
      <w:sz w:val="32"/>
      <w:szCs w:val="24"/>
    </w:rPr>
  </w:style>
  <w:style w:type="paragraph" w:customStyle="1" w:styleId="264">
    <w:name w:val="样式 标题 2 + (西文) Times New Roman (中文) 宋体 段前: 12 磅 段后: 6 磅 行距: ..."/>
    <w:basedOn w:val="3"/>
    <w:link w:val="263"/>
    <w:qFormat/>
    <w:uiPriority w:val="0"/>
    <w:pPr>
      <w:tabs>
        <w:tab w:val="left" w:pos="576"/>
      </w:tabs>
      <w:spacing w:before="0" w:after="0" w:line="300" w:lineRule="auto"/>
      <w:ind w:left="576" w:hanging="576"/>
    </w:pPr>
    <w:rPr>
      <w:rFonts w:ascii="Times New Roman" w:hAnsi="Times New Roman" w:eastAsia="宋体"/>
      <w:szCs w:val="24"/>
    </w:rPr>
  </w:style>
  <w:style w:type="paragraph" w:customStyle="1" w:styleId="265">
    <w:name w:val="表头"/>
    <w:next w:val="1"/>
    <w:qFormat/>
    <w:uiPriority w:val="0"/>
    <w:pPr>
      <w:adjustRightInd w:val="0"/>
      <w:snapToGrid w:val="0"/>
      <w:spacing w:line="360" w:lineRule="auto"/>
      <w:jc w:val="center"/>
    </w:pPr>
    <w:rPr>
      <w:rFonts w:ascii="Arial" w:hAnsi="Arial" w:eastAsia="宋体" w:cs="Times New Roman"/>
      <w:b/>
      <w:snapToGrid w:val="0"/>
      <w:sz w:val="24"/>
      <w:szCs w:val="22"/>
      <w:lang w:val="en-US" w:eastAsia="zh-CN" w:bidi="ar-SA"/>
    </w:rPr>
  </w:style>
  <w:style w:type="paragraph" w:customStyle="1" w:styleId="266">
    <w:name w:val="Table Text"/>
    <w:basedOn w:val="1"/>
    <w:semiHidden/>
    <w:qFormat/>
    <w:uiPriority w:val="0"/>
    <w:rPr>
      <w:rFonts w:ascii="宋体" w:hAnsi="宋体" w:eastAsia="宋体" w:cs="宋体"/>
      <w:sz w:val="23"/>
      <w:szCs w:val="23"/>
      <w:lang w:val="en-US" w:eastAsia="en-US" w:bidi="ar-SA"/>
    </w:rPr>
  </w:style>
  <w:style w:type="table" w:customStyle="1" w:styleId="267">
    <w:name w:val="Table Normal"/>
    <w:semiHidden/>
    <w:unhideWhenUsed/>
    <w:qFormat/>
    <w:uiPriority w:val="0"/>
    <w:tblPr>
      <w:tblCellMar>
        <w:top w:w="0" w:type="dxa"/>
        <w:left w:w="0" w:type="dxa"/>
        <w:bottom w:w="0" w:type="dxa"/>
        <w:right w:w="0" w:type="dxa"/>
      </w:tblCellMar>
    </w:tblPr>
  </w:style>
  <w:style w:type="character" w:customStyle="1" w:styleId="268">
    <w:name w:val="font21"/>
    <w:basedOn w:val="46"/>
    <w:qFormat/>
    <w:uiPriority w:val="0"/>
    <w:rPr>
      <w:rFonts w:hint="default" w:ascii="Times New Roman" w:hAnsi="Times New Roman" w:cs="Times New Roman"/>
      <w:color w:val="000000"/>
      <w:sz w:val="21"/>
      <w:szCs w:val="21"/>
      <w:u w:val="none"/>
    </w:rPr>
  </w:style>
  <w:style w:type="character" w:customStyle="1" w:styleId="269">
    <w:name w:val="font11"/>
    <w:basedOn w:val="46"/>
    <w:qFormat/>
    <w:uiPriority w:val="0"/>
    <w:rPr>
      <w:rFonts w:hint="eastAsia" w:ascii="宋体" w:hAnsi="宋体" w:eastAsia="宋体" w:cs="宋体"/>
      <w:color w:val="000000"/>
      <w:sz w:val="21"/>
      <w:szCs w:val="21"/>
      <w:u w:val="none"/>
    </w:rPr>
  </w:style>
  <w:style w:type="character" w:customStyle="1" w:styleId="270">
    <w:name w:val="font31"/>
    <w:basedOn w:val="46"/>
    <w:qFormat/>
    <w:uiPriority w:val="0"/>
    <w:rPr>
      <w:rFonts w:hint="eastAsia" w:ascii="宋体" w:hAnsi="宋体" w:eastAsia="宋体" w:cs="宋体"/>
      <w:color w:val="000000"/>
      <w:sz w:val="21"/>
      <w:szCs w:val="21"/>
      <w:u w:val="none"/>
    </w:rPr>
  </w:style>
  <w:style w:type="character" w:customStyle="1" w:styleId="271">
    <w:name w:val="font41"/>
    <w:basedOn w:val="46"/>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DDA3DC-8F5C-462C-A2C0-53D2D5232051}">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47</Pages>
  <Words>9040</Words>
  <Characters>9806</Characters>
  <Lines>486</Lines>
  <Paragraphs>136</Paragraphs>
  <TotalTime>0</TotalTime>
  <ScaleCrop>false</ScaleCrop>
  <LinksUpToDate>false</LinksUpToDate>
  <CharactersWithSpaces>9889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2023-01-30T03:57:00Z</dcterms:created>
  <dc:creator>myy</dc:creator>
  <cp:lastModifiedBy>c</cp:lastModifiedBy>
  <cp:lastPrinted>2022-01-06T06:38:00Z</cp:lastPrinted>
  <dcterms:modified xsi:type="dcterms:W3CDTF">2026-09-29T06:12:01Z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22989CB192CD42F3B9CA182A2518908C_13</vt:lpwstr>
  </property>
  <property fmtid="{D5CDD505-2E9C-101B-9397-08002B2CF9AE}" pid="4" name="KSOTemplateDocerSaveRecord">
    <vt:lpwstr>eyJoZGlkIjoiNDJkNDlkNzg0MmUwZDY4Y2NlMGM1MjNlZTJjOWI4YmEiLCJ1c2VySWQiOiI1MzU0OTYzMzAifQ==</vt:lpwstr>
  </property>
</Properties>
</file>