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137F6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color="auto" w:fill="FFFFFF"/>
        <w:spacing w:before="100" w:beforeLines="-2147483648" w:beforeAutospacing="1" w:after="60" w:afterLines="-2147483648" w:afterAutospacing="0" w:line="240" w:lineRule="auto"/>
        <w:ind w:left="0" w:right="0"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spacing w:val="0"/>
          <w:sz w:val="48"/>
          <w:szCs w:val="48"/>
          <w:shd w:val="clear" w:color="auto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spacing w:val="0"/>
          <w:sz w:val="48"/>
          <w:szCs w:val="48"/>
          <w:shd w:val="clear" w:color="auto" w:fill="FFFFFF"/>
          <w:lang w:val="en-US" w:eastAsia="zh-CN" w:bidi="ar"/>
        </w:rPr>
        <w:t>智能辅助选择企业住所（经营场所）服务场景建设项目采</w:t>
      </w:r>
      <w:bookmarkStart w:id="19" w:name="_GoBack"/>
      <w:bookmarkEnd w:id="19"/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spacing w:val="0"/>
          <w:sz w:val="48"/>
          <w:szCs w:val="48"/>
          <w:shd w:val="clear" w:color="auto" w:fill="FFFFFF"/>
          <w:lang w:val="en-US" w:eastAsia="zh-CN" w:bidi="ar"/>
        </w:rPr>
        <w:t>购及评审文件</w:t>
      </w:r>
    </w:p>
    <w:p w14:paraId="3ADCC21D">
      <w:pPr>
        <w:pStyle w:val="6"/>
        <w:numPr>
          <w:ilvl w:val="0"/>
          <w:numId w:val="0"/>
        </w:numPr>
        <w:ind w:leftChars="0"/>
        <w:rPr>
          <w:rFonts w:hint="eastAsia"/>
          <w:lang w:eastAsia="zh-CN"/>
        </w:rPr>
      </w:pPr>
      <w:bookmarkStart w:id="0" w:name="heading_0"/>
    </w:p>
    <w:p w14:paraId="78C44EBB">
      <w:pPr>
        <w:pStyle w:val="6"/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rPr>
          <w:rFonts w:hint="eastAsia"/>
          <w:lang w:eastAsia="zh-CN"/>
        </w:rPr>
        <w:t>第一章 响应邀请</w:t>
      </w:r>
      <w:bookmarkEnd w:id="0"/>
    </w:p>
    <w:p w14:paraId="1E66EE5E">
      <w:pPr>
        <w:pStyle w:val="3"/>
        <w:numPr>
          <w:ilvl w:val="0"/>
          <w:numId w:val="0"/>
        </w:numPr>
        <w:topLinePunct w:val="0"/>
        <w:ind w:left="0" w:leftChars="0" w:firstLine="616"/>
        <w:jc w:val="left"/>
        <w:rPr>
          <w:rFonts w:ascii="Times New Roman" w:hAnsi="Times New Roman" w:eastAsia="仿宋_GB2312" w:cs="仿宋_GB2312"/>
          <w:sz w:val="32"/>
          <w:szCs w:val="32"/>
        </w:rPr>
      </w:pPr>
      <w:r>
        <w:rPr>
          <w:rStyle w:val="7"/>
        </w:rPr>
        <w:t>项目名称：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智能</w:t>
      </w:r>
      <w:r>
        <w:rPr>
          <w:rFonts w:ascii="Times New Roman" w:hAnsi="Times New Roman" w:eastAsia="仿宋_GB2312" w:cs="仿宋_GB2312"/>
          <w:sz w:val="32"/>
          <w:szCs w:val="32"/>
        </w:rPr>
        <w:t>辅助选择企业住所（经营场所）服务场景建设项目</w:t>
      </w:r>
      <w:r>
        <w:rPr>
          <w:rFonts w:ascii="Times New Roman" w:hAnsi="Times New Roman" w:eastAsia="仿宋_GB2312" w:cs="仿宋_GB2312"/>
          <w:sz w:val="32"/>
          <w:szCs w:val="32"/>
        </w:rPr>
        <w:br w:type="textWrapping"/>
      </w:r>
      <w:r>
        <w:rPr>
          <w:rFonts w:hint="eastAsia" w:cs="仿宋_GB2312"/>
          <w:sz w:val="32"/>
          <w:szCs w:val="32"/>
          <w:lang w:val="en-US" w:eastAsia="zh-CN"/>
        </w:rPr>
        <w:t xml:space="preserve">       项</w:t>
      </w:r>
      <w:r>
        <w:rPr>
          <w:rStyle w:val="7"/>
        </w:rPr>
        <w:t>目地点：</w:t>
      </w:r>
      <w:r>
        <w:rPr>
          <w:rFonts w:ascii="Times New Roman" w:hAnsi="Times New Roman" w:eastAsia="仿宋_GB2312" w:cs="仿宋_GB2312"/>
          <w:sz w:val="32"/>
          <w:szCs w:val="32"/>
        </w:rPr>
        <w:t>柳州市</w:t>
      </w:r>
      <w:r>
        <w:rPr>
          <w:rFonts w:ascii="Times New Roman" w:hAnsi="Times New Roman" w:eastAsia="仿宋_GB2312" w:cs="仿宋_GB2312"/>
          <w:sz w:val="32"/>
          <w:szCs w:val="32"/>
        </w:rPr>
        <w:br w:type="textWrapping"/>
      </w:r>
      <w:r>
        <w:rPr>
          <w:rFonts w:hint="eastAsia" w:cs="仿宋_GB2312"/>
          <w:sz w:val="32"/>
          <w:szCs w:val="32"/>
          <w:lang w:val="en-US" w:eastAsia="zh-CN"/>
        </w:rPr>
        <w:t xml:space="preserve">        </w:t>
      </w:r>
      <w:r>
        <w:rPr>
          <w:rStyle w:val="7"/>
        </w:rPr>
        <w:t>采购方式：</w:t>
      </w:r>
      <w:r>
        <w:rPr>
          <w:rFonts w:ascii="Times New Roman" w:hAnsi="Times New Roman" w:eastAsia="仿宋_GB2312" w:cs="仿宋_GB2312"/>
          <w:sz w:val="32"/>
          <w:szCs w:val="32"/>
        </w:rPr>
        <w:t>自行采购</w:t>
      </w:r>
      <w:r>
        <w:rPr>
          <w:rFonts w:ascii="Times New Roman" w:hAnsi="Times New Roman" w:eastAsia="仿宋_GB2312" w:cs="仿宋_GB2312"/>
          <w:sz w:val="32"/>
          <w:szCs w:val="32"/>
        </w:rPr>
        <w:br w:type="textWrapping"/>
      </w:r>
      <w:r>
        <w:rPr>
          <w:rFonts w:hint="eastAsia" w:cs="仿宋_GB2312"/>
          <w:sz w:val="32"/>
          <w:szCs w:val="32"/>
          <w:lang w:val="en-US" w:eastAsia="zh-CN"/>
        </w:rPr>
        <w:t xml:space="preserve">       项</w:t>
      </w:r>
      <w:r>
        <w:rPr>
          <w:rStyle w:val="7"/>
        </w:rPr>
        <w:t>目内容：</w:t>
      </w:r>
      <w:r>
        <w:rPr>
          <w:rFonts w:ascii="Times New Roman" w:hAnsi="Times New Roman" w:eastAsia="仿宋_GB2312" w:cs="仿宋_GB2312"/>
          <w:sz w:val="32"/>
          <w:szCs w:val="32"/>
        </w:rPr>
        <w:t>PC 端 + H5 服务场景页面设计、三大查询场景开发、后端管理模块搭建、智能辅助审查服务开发、1</w:t>
      </w:r>
      <w:r>
        <w:rPr>
          <w:rFonts w:hint="eastAsia" w:cs="仿宋_GB2312"/>
          <w:sz w:val="32"/>
          <w:szCs w:val="32"/>
          <w:lang w:eastAsia="zh-CN"/>
        </w:rPr>
        <w:t>年</w:t>
      </w:r>
      <w:r>
        <w:rPr>
          <w:rFonts w:ascii="Times New Roman" w:hAnsi="Times New Roman" w:eastAsia="仿宋_GB2312" w:cs="仿宋_GB2312"/>
          <w:sz w:val="32"/>
          <w:szCs w:val="32"/>
        </w:rPr>
        <w:t>基础运维服务</w:t>
      </w:r>
      <w:r>
        <w:rPr>
          <w:rFonts w:ascii="Times New Roman" w:hAnsi="Times New Roman" w:eastAsia="仿宋_GB2312" w:cs="仿宋_GB2312"/>
          <w:sz w:val="32"/>
          <w:szCs w:val="32"/>
        </w:rPr>
        <w:br w:type="textWrapping"/>
      </w:r>
      <w:r>
        <w:rPr>
          <w:rFonts w:hint="eastAsia" w:cs="仿宋_GB2312"/>
          <w:sz w:val="32"/>
          <w:szCs w:val="32"/>
          <w:lang w:val="en-US" w:eastAsia="zh-CN"/>
        </w:rPr>
        <w:t xml:space="preserve">        </w:t>
      </w:r>
      <w:r>
        <w:rPr>
          <w:rStyle w:val="7"/>
        </w:rPr>
        <w:t>总工期：</w:t>
      </w:r>
      <w:r>
        <w:rPr>
          <w:rFonts w:ascii="Times New Roman" w:hAnsi="Times New Roman" w:eastAsia="仿宋_GB2312" w:cs="仿宋_GB2312"/>
          <w:sz w:val="32"/>
          <w:szCs w:val="32"/>
        </w:rPr>
        <w:t>合同签订后 1</w:t>
      </w:r>
      <w:r>
        <w:rPr>
          <w:rFonts w:hint="eastAsia" w:cs="仿宋_GB2312"/>
          <w:sz w:val="32"/>
          <w:szCs w:val="32"/>
          <w:lang w:eastAsia="zh-CN"/>
        </w:rPr>
        <w:t>个</w:t>
      </w:r>
      <w:r>
        <w:rPr>
          <w:rFonts w:ascii="Times New Roman" w:hAnsi="Times New Roman" w:eastAsia="仿宋_GB2312" w:cs="仿宋_GB2312"/>
          <w:sz w:val="32"/>
          <w:szCs w:val="32"/>
        </w:rPr>
        <w:t>月内完成开发、验收并上线运行</w:t>
      </w:r>
      <w:r>
        <w:rPr>
          <w:rFonts w:ascii="Times New Roman" w:hAnsi="Times New Roman" w:eastAsia="仿宋_GB2312" w:cs="仿宋_GB2312"/>
          <w:sz w:val="32"/>
          <w:szCs w:val="32"/>
        </w:rPr>
        <w:br w:type="textWrapping"/>
      </w:r>
      <w:r>
        <w:rPr>
          <w:rFonts w:hint="eastAsia" w:cs="仿宋_GB2312"/>
          <w:sz w:val="32"/>
          <w:szCs w:val="32"/>
          <w:lang w:val="en-US" w:eastAsia="zh-CN"/>
        </w:rPr>
        <w:t xml:space="preserve">        </w:t>
      </w:r>
      <w:r>
        <w:rPr>
          <w:rStyle w:val="7"/>
        </w:rPr>
        <w:t>采购预算</w:t>
      </w:r>
      <w:r>
        <w:rPr>
          <w:rStyle w:val="7"/>
          <w:rFonts w:hint="eastAsia" w:eastAsia="黑体"/>
          <w:lang w:eastAsia="zh-CN"/>
        </w:rPr>
        <w:t>上限</w:t>
      </w:r>
      <w:r>
        <w:rPr>
          <w:rStyle w:val="7"/>
        </w:rPr>
        <w:t>：</w:t>
      </w:r>
      <w:r>
        <w:rPr>
          <w:rFonts w:ascii="Times New Roman" w:hAnsi="Times New Roman" w:eastAsia="仿宋_GB2312" w:cs="仿宋_GB2312"/>
          <w:sz w:val="32"/>
          <w:szCs w:val="32"/>
        </w:rPr>
        <w:t>¥50000.00</w:t>
      </w:r>
      <w:r>
        <w:rPr>
          <w:rFonts w:hint="eastAsia" w:cs="仿宋_GB2312"/>
          <w:sz w:val="32"/>
          <w:szCs w:val="32"/>
          <w:lang w:eastAsia="zh-CN"/>
        </w:rPr>
        <w:t>元</w:t>
      </w:r>
      <w:r>
        <w:rPr>
          <w:rFonts w:ascii="Times New Roman" w:hAnsi="Times New Roman" w:eastAsia="仿宋_GB2312" w:cs="仿宋_GB2312"/>
          <w:sz w:val="32"/>
          <w:szCs w:val="32"/>
        </w:rPr>
        <w:t>（大写：人民币伍万元整）</w:t>
      </w:r>
      <w:r>
        <w:rPr>
          <w:rFonts w:ascii="Times New Roman" w:hAnsi="Times New Roman" w:eastAsia="仿宋_GB2312" w:cs="仿宋_GB2312"/>
          <w:sz w:val="32"/>
          <w:szCs w:val="32"/>
        </w:rPr>
        <w:br w:type="textWrapping"/>
      </w:r>
      <w:r>
        <w:rPr>
          <w:rFonts w:hint="eastAsia" w:cs="仿宋_GB2312"/>
          <w:sz w:val="32"/>
          <w:szCs w:val="32"/>
          <w:lang w:val="en-US" w:eastAsia="zh-CN"/>
        </w:rPr>
        <w:t xml:space="preserve">      </w:t>
      </w:r>
    </w:p>
    <w:p w14:paraId="47311D38">
      <w:pPr>
        <w:pStyle w:val="6"/>
        <w:numPr>
          <w:ilvl w:val="0"/>
          <w:numId w:val="0"/>
        </w:numPr>
        <w:ind w:leftChars="0"/>
        <w:rPr>
          <w:rFonts w:hint="eastAsia"/>
          <w:lang w:eastAsia="zh-CN"/>
        </w:rPr>
      </w:pPr>
      <w:bookmarkStart w:id="1" w:name="heading_1"/>
    </w:p>
    <w:p w14:paraId="6CE6BA55">
      <w:pPr>
        <w:pStyle w:val="6"/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rPr>
          <w:rFonts w:hint="eastAsia"/>
          <w:lang w:eastAsia="zh-CN"/>
        </w:rPr>
        <w:t>第二章 响应人资格要求</w:t>
      </w:r>
      <w:bookmarkEnd w:id="1"/>
    </w:p>
    <w:p w14:paraId="0C541143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eastAsia="zh-CN"/>
        </w:rPr>
        <w:t>1. 在中国境内依法注册登记，具备独立市场主体资格，营业执照经营范围包含信息技术服务、软件开发相关内容。</w:t>
      </w:r>
    </w:p>
    <w:p w14:paraId="4C25CA7F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eastAsia="zh-CN"/>
        </w:rPr>
        <w:t>. 至少具备一项信息系统相关资质（信息系统运行维护资质、信息系统集成资质、软件企业资质等任一即可）。</w:t>
      </w:r>
    </w:p>
    <w:p w14:paraId="70F748B2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eastAsia="zh-CN"/>
        </w:rPr>
        <w:t xml:space="preserve"> 近 3年内经营活动无重大违法记录，可提供近 1年依法纳税证明、社会保障资金缴纳证明。</w:t>
      </w:r>
    </w:p>
    <w:p w14:paraId="77E97D92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eastAsia="zh-CN"/>
        </w:rPr>
        <w:t>. 近 3年拥有至少 1项数字化应用项目实施业绩，须提供对应项目合同或验收材料复印件佐证。</w:t>
      </w:r>
    </w:p>
    <w:p w14:paraId="442D7996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eastAsia="zh-CN"/>
        </w:rPr>
        <w:t>. 具备完成本项目所需技术实施团队，承诺中标后配合采购方完成需求细节调整，服从采购方合理工作安排。</w:t>
      </w:r>
    </w:p>
    <w:p w14:paraId="2CC9CEAF">
      <w:pPr>
        <w:pStyle w:val="6"/>
        <w:numPr>
          <w:ilvl w:val="0"/>
          <w:numId w:val="0"/>
        </w:numPr>
        <w:ind w:leftChars="0"/>
        <w:rPr>
          <w:rFonts w:hint="eastAsia"/>
          <w:lang w:eastAsia="zh-CN"/>
        </w:rPr>
      </w:pPr>
      <w:bookmarkStart w:id="2" w:name="heading_2"/>
    </w:p>
    <w:p w14:paraId="66B99DC2">
      <w:pPr>
        <w:pStyle w:val="6"/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rPr>
          <w:rFonts w:hint="eastAsia"/>
          <w:lang w:eastAsia="zh-CN"/>
        </w:rPr>
        <w:t>第三章 采购需求（技术要求）</w:t>
      </w:r>
      <w:bookmarkEnd w:id="2"/>
    </w:p>
    <w:p w14:paraId="3376567F">
      <w:pPr>
        <w:pStyle w:val="2"/>
        <w:numPr>
          <w:ilvl w:val="0"/>
          <w:numId w:val="0"/>
        </w:numPr>
        <w:topLinePunct w:val="0"/>
        <w:ind w:firstLine="640" w:firstLineChars="200"/>
        <w:rPr>
          <w:rFonts w:hint="eastAsia"/>
          <w:lang w:val="en-US" w:eastAsia="zh-CN"/>
        </w:rPr>
      </w:pPr>
      <w:bookmarkStart w:id="3" w:name="heading_3"/>
      <w:r>
        <w:rPr>
          <w:rFonts w:hint="eastAsia"/>
          <w:lang w:val="en-US" w:eastAsia="zh-CN"/>
        </w:rPr>
        <w:t>一、建设目标</w:t>
      </w:r>
      <w:bookmarkEnd w:id="3"/>
    </w:p>
    <w:p w14:paraId="30B7A989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1. 基础功能可用：完成 3个核心场景基础框架搭建，查询、评估等核心服务正常运行；</w:t>
      </w:r>
    </w:p>
    <w:p w14:paraId="48FF9D1A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eastAsia="zh-CN"/>
        </w:rPr>
        <w:t xml:space="preserve">. 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基础性能达标：100M 带宽环境下页面加载速度≤4 秒，全部核心操作步骤≤4 步，页面无卡顿、排版错位问题；</w:t>
      </w:r>
    </w:p>
    <w:p w14:paraId="2BE5E84E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eastAsia="zh-CN"/>
        </w:rPr>
        <w:t xml:space="preserve">. 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适配拓展灵活：预留功能调整接口，后台支持非技术人员自主完成内容更新；</w:t>
      </w:r>
    </w:p>
    <w:p w14:paraId="5A8747FD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交付时限：合同签订后 1个月内完成全功能开发、测试、验收并正式上线。</w:t>
      </w:r>
    </w:p>
    <w:p w14:paraId="59308D07">
      <w:pPr>
        <w:pStyle w:val="2"/>
        <w:numPr>
          <w:ilvl w:val="0"/>
          <w:numId w:val="0"/>
        </w:numPr>
        <w:topLinePunct w:val="0"/>
        <w:ind w:firstLine="640" w:firstLineChars="200"/>
        <w:rPr>
          <w:rFonts w:hint="eastAsia"/>
          <w:lang w:val="en-US" w:eastAsia="zh-CN"/>
        </w:rPr>
      </w:pPr>
      <w:bookmarkStart w:id="4" w:name="heading_4"/>
      <w:r>
        <w:rPr>
          <w:rFonts w:hint="eastAsia"/>
          <w:lang w:val="en-US" w:eastAsia="zh-CN"/>
        </w:rPr>
        <w:t>二、功能开发清单</w:t>
      </w:r>
      <w:bookmarkEnd w:id="4"/>
    </w:p>
    <w:tbl>
      <w:tblPr>
        <w:tblStyle w:val="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78"/>
        <w:gridCol w:w="1640"/>
        <w:gridCol w:w="5862"/>
      </w:tblGrid>
      <w:tr w14:paraId="06D9001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F32177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265153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功能模块</w:t>
            </w:r>
          </w:p>
        </w:tc>
        <w:tc>
          <w:tcPr>
            <w:tcW w:w="5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002D5A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开发内容要求</w:t>
            </w:r>
          </w:p>
        </w:tc>
      </w:tr>
      <w:tr w14:paraId="2916B41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110E02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7E0692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综合服务首页</w:t>
            </w:r>
          </w:p>
        </w:tc>
        <w:tc>
          <w:tcPr>
            <w:tcW w:w="5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06589A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统一展示三大服务场景入口，区分登录 / 未登录访问权限，统一视觉交互设计，适配 PC 端、H5 移动端</w:t>
            </w:r>
          </w:p>
        </w:tc>
      </w:tr>
      <w:tr w14:paraId="72A99BC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B09884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FE0D1F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已备案地址查询场景</w:t>
            </w:r>
          </w:p>
        </w:tc>
        <w:tc>
          <w:tcPr>
            <w:tcW w:w="5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739833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地址模糊检索、地图选点定位、备案地址自动判定、办事材料简化提示、免责声明弹窗展示</w:t>
            </w:r>
          </w:p>
        </w:tc>
      </w:tr>
      <w:tr w14:paraId="1A765FA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A17002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BCBE78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限制性场地查询场景</w:t>
            </w:r>
          </w:p>
        </w:tc>
        <w:tc>
          <w:tcPr>
            <w:tcW w:w="5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6F4A44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风险地址检索、地图点位标注、经营风险弹窗提示、合规告知说明展示</w:t>
            </w:r>
          </w:p>
        </w:tc>
      </w:tr>
      <w:tr w14:paraId="76DD923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B9DF6D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87214D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经营许可场地自检场景</w:t>
            </w:r>
          </w:p>
        </w:tc>
        <w:tc>
          <w:tcPr>
            <w:tcW w:w="5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6D4DEA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行业分类选择、风险评估问题填报、规则自动评估、风险条款及对应法律依据展示、一键重新评估功能</w:t>
            </w:r>
          </w:p>
        </w:tc>
      </w:tr>
      <w:tr w14:paraId="283CAF7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224F2C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FA85C3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后端管理模块</w:t>
            </w:r>
          </w:p>
        </w:tc>
        <w:tc>
          <w:tcPr>
            <w:tcW w:w="5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F1ED0F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地址管理、行业管理、评估问题管理、数据统计分析、全量操作日志、用户管理、角色权限管理，后台基础操作≤3 步</w:t>
            </w:r>
          </w:p>
        </w:tc>
      </w:tr>
      <w:tr w14:paraId="11EDF2A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E62A5E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AE8120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智能辅助审查服务</w:t>
            </w:r>
          </w:p>
        </w:tc>
        <w:tc>
          <w:tcPr>
            <w:tcW w:w="5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27A7EC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为审批工作人员提供三大场景配套智能核验能力，实现经营地址合规性快速辅助审查</w:t>
            </w:r>
          </w:p>
        </w:tc>
      </w:tr>
    </w:tbl>
    <w:p w14:paraId="7168F8BE">
      <w:pPr>
        <w:pStyle w:val="2"/>
        <w:numPr>
          <w:ilvl w:val="0"/>
          <w:numId w:val="0"/>
        </w:numPr>
        <w:topLinePunct w:val="0"/>
        <w:ind w:firstLine="640" w:firstLineChars="200"/>
        <w:rPr>
          <w:rFonts w:hint="eastAsia"/>
          <w:lang w:val="en-US" w:eastAsia="zh-CN"/>
        </w:rPr>
      </w:pPr>
      <w:bookmarkStart w:id="5" w:name="heading_5"/>
      <w:r>
        <w:rPr>
          <w:rFonts w:hint="eastAsia"/>
          <w:lang w:val="en-US" w:eastAsia="zh-CN"/>
        </w:rPr>
        <w:t>三、实施计划（总工期 1个月）</w:t>
      </w:r>
      <w:bookmarkEnd w:id="5"/>
    </w:p>
    <w:p w14:paraId="7093DFCA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（一）第 1-7 日：需求确认、UI 界面设计、基础框架开发、方案确认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 xml:space="preserve">        （二）第 8-20 日：三大业务场景、后台管理、智能辅助审查功能开发、内部联调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 xml:space="preserve">       （三）第 21-28 日：性能优化、全场景测试、问题整改、技术文档编制、运维方案落地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 xml:space="preserve">       （四）第 29-30 日：整体演示、履约验收、系统上线交付</w:t>
      </w:r>
    </w:p>
    <w:p w14:paraId="2A2BD7E7">
      <w:pPr>
        <w:pStyle w:val="2"/>
        <w:numPr>
          <w:ilvl w:val="0"/>
          <w:numId w:val="0"/>
        </w:numPr>
        <w:topLinePunct w:val="0"/>
        <w:ind w:firstLine="640" w:firstLineChars="200"/>
        <w:rPr>
          <w:rFonts w:hint="eastAsia"/>
          <w:lang w:val="en-US" w:eastAsia="zh-CN"/>
        </w:rPr>
      </w:pPr>
      <w:bookmarkStart w:id="6" w:name="heading_6"/>
      <w:r>
        <w:rPr>
          <w:rFonts w:hint="eastAsia"/>
          <w:lang w:val="en-US" w:eastAsia="zh-CN"/>
        </w:rPr>
        <w:t>四、交付物</w:t>
      </w:r>
      <w:bookmarkEnd w:id="6"/>
    </w:p>
    <w:p w14:paraId="46B004F2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1. PC 端 + H5 全场景可上线系统一套；</w:t>
      </w:r>
    </w:p>
    <w:p w14:paraId="053D2E0C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2 配套后台权限管理系统；</w:t>
      </w:r>
    </w:p>
    <w:p w14:paraId="6D022D31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3. 完整技术文档：后台图文操作手册、基础接口说明文档；</w:t>
      </w:r>
    </w:p>
    <w:p w14:paraId="370B6694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4. 1年基础运维服务承诺函、需求调整配合承诺书。</w:t>
      </w:r>
    </w:p>
    <w:p w14:paraId="4957E892">
      <w:pPr>
        <w:pStyle w:val="2"/>
        <w:numPr>
          <w:ilvl w:val="0"/>
          <w:numId w:val="0"/>
        </w:numPr>
        <w:topLinePunct w:val="0"/>
        <w:ind w:firstLine="640" w:firstLineChars="200"/>
        <w:rPr>
          <w:rFonts w:hint="eastAsia"/>
          <w:lang w:val="en-US" w:eastAsia="zh-CN"/>
        </w:rPr>
      </w:pPr>
      <w:bookmarkStart w:id="7" w:name="heading_7"/>
      <w:r>
        <w:rPr>
          <w:rFonts w:hint="eastAsia"/>
          <w:lang w:val="en-US" w:eastAsia="zh-CN"/>
        </w:rPr>
        <w:t>五、验收标准</w:t>
      </w:r>
      <w:bookmarkEnd w:id="7"/>
    </w:p>
    <w:p w14:paraId="6756D54A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1. 全部前端场景、后台管理、智能辅助审查功能完整实现，按钮、检索、评估等功能均可正常使用；</w:t>
      </w:r>
    </w:p>
    <w:p w14:paraId="00A83D34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2. 页面加载、操作步骤等性能指标满足建设目标要求，移动端、PC 端展示无错位、卡顿；</w:t>
      </w:r>
    </w:p>
    <w:p w14:paraId="1106FB4A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3. 后台支持非技术人员完成内容更新，操作日志完整可查、权限划分清晰；</w:t>
      </w:r>
    </w:p>
    <w:p w14:paraId="00395009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4. 全套技术资料、服务承诺文件齐全；</w:t>
      </w:r>
    </w:p>
    <w:p w14:paraId="6ADB9169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1. 系统稳定运行，整改次数不超过 2 次，复核通过视为验收合格。</w:t>
      </w:r>
    </w:p>
    <w:p w14:paraId="409D7AF1">
      <w:pPr>
        <w:pStyle w:val="6"/>
        <w:numPr>
          <w:ilvl w:val="0"/>
          <w:numId w:val="0"/>
        </w:numPr>
        <w:ind w:leftChars="0"/>
        <w:rPr>
          <w:rFonts w:hint="eastAsia"/>
          <w:lang w:eastAsia="zh-CN"/>
        </w:rPr>
      </w:pPr>
      <w:bookmarkStart w:id="8" w:name="heading_8"/>
      <w:r>
        <w:rPr>
          <w:rFonts w:hint="eastAsia"/>
          <w:lang w:eastAsia="zh-CN"/>
        </w:rPr>
        <w:t>第四章 响应文件编制要求</w:t>
      </w:r>
      <w:bookmarkEnd w:id="8"/>
    </w:p>
    <w:p w14:paraId="29215B78">
      <w:pPr>
        <w:numPr>
          <w:ilvl w:val="0"/>
          <w:numId w:val="0"/>
        </w:numPr>
        <w:spacing w:before="120" w:after="120" w:line="288" w:lineRule="auto"/>
        <w:ind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1. 响应文件须包含以下资料：</w:t>
      </w:r>
      <w:r>
        <w:rPr>
          <w:rFonts w:hint="eastAsia" w:ascii="Times New Roman" w:hAnsi="Times New Roman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（1）响应函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（2）法定代表人身份证明 / 授权委托书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（3）营业执照、信息系统相关资质证书复印件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（4）近 3年无重大违法记录声明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（5）近 1年纳税、社保资金缴纳证明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（6）公司简介及技术服务优势说明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（7）项目负责人、实施团队人员资料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（8）完整项目建设方案（含实施周期、性能保障、运维方案）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（9）近 3年类似项目业绩证明（合同、验收材料复印件）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（10）总价包干报价表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（11）售后服务及需求调整配合承诺书</w:t>
      </w:r>
    </w:p>
    <w:p w14:paraId="2EB0127C">
      <w:pPr>
        <w:numPr>
          <w:ilvl w:val="0"/>
          <w:numId w:val="0"/>
        </w:numPr>
        <w:spacing w:before="120" w:after="120" w:line="288" w:lineRule="auto"/>
        <w:ind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2. 全部文件每页加盖单位公章，未盖章视为无效响应；</w:t>
      </w:r>
    </w:p>
    <w:p w14:paraId="658CBA76">
      <w:pPr>
        <w:numPr>
          <w:ilvl w:val="0"/>
          <w:numId w:val="0"/>
        </w:numPr>
        <w:spacing w:before="120" w:after="120" w:line="288" w:lineRule="auto"/>
        <w:ind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3. 全套材料密封包装，文件封面标注项目名称、响应单位、联系人、联系电话。</w:t>
      </w:r>
    </w:p>
    <w:p w14:paraId="20C36556">
      <w:pPr>
        <w:pStyle w:val="6"/>
        <w:numPr>
          <w:ilvl w:val="0"/>
          <w:numId w:val="0"/>
        </w:numPr>
        <w:ind w:leftChars="0"/>
        <w:rPr>
          <w:rFonts w:hint="eastAsia"/>
          <w:lang w:eastAsia="zh-CN"/>
        </w:rPr>
      </w:pPr>
      <w:bookmarkStart w:id="9" w:name="heading_9"/>
      <w:r>
        <w:rPr>
          <w:rFonts w:hint="eastAsia"/>
          <w:lang w:eastAsia="zh-CN"/>
        </w:rPr>
        <w:t>第五章 报价要求</w:t>
      </w:r>
      <w:bookmarkEnd w:id="9"/>
    </w:p>
    <w:p w14:paraId="5EFD2B8D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本次报价为总价包干，包含页面设计、功能开发、系统部署、测试、技术文档、1年 5×8 小时基础运维、税费等全部费用；</w:t>
      </w:r>
    </w:p>
    <w:p w14:paraId="69ABE358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1. 总报价不得超过采购预算上限5万元，超出预算按无效响应处理；</w:t>
      </w:r>
    </w:p>
    <w:p w14:paraId="1E3503E2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2. 报价区间参考：合理报价区间2.5万元 - 5万元，低于2.5万元且无完整合理成本说明，报价项不予得分；</w:t>
      </w:r>
    </w:p>
    <w:p w14:paraId="7CB5AA89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3. 常规细节优化不额外计费，如需新增核心业务功能，双方另行协商补充预算，不计入本次5万元预算。</w:t>
      </w:r>
    </w:p>
    <w:p w14:paraId="1D397FF0">
      <w:pPr>
        <w:pStyle w:val="6"/>
        <w:numPr>
          <w:ilvl w:val="0"/>
          <w:numId w:val="0"/>
        </w:numPr>
        <w:ind w:leftChars="0"/>
        <w:rPr>
          <w:rFonts w:hint="eastAsia"/>
          <w:lang w:eastAsia="zh-CN"/>
        </w:rPr>
      </w:pPr>
      <w:bookmarkStart w:id="10" w:name="heading_10"/>
      <w:r>
        <w:rPr>
          <w:rFonts w:hint="eastAsia"/>
          <w:lang w:eastAsia="zh-CN"/>
        </w:rPr>
        <w:t>第六章 评审程序与标准</w:t>
      </w:r>
      <w:bookmarkEnd w:id="10"/>
    </w:p>
    <w:p w14:paraId="74A7EB3F">
      <w:pPr>
        <w:pStyle w:val="2"/>
        <w:numPr>
          <w:ilvl w:val="0"/>
          <w:numId w:val="0"/>
        </w:numPr>
        <w:topLinePunct w:val="0"/>
        <w:ind w:firstLine="640" w:firstLineChars="200"/>
        <w:rPr>
          <w:rFonts w:hint="eastAsia"/>
          <w:lang w:val="en-US" w:eastAsia="zh-CN"/>
        </w:rPr>
      </w:pPr>
      <w:bookmarkStart w:id="11" w:name="heading_11"/>
      <w:r>
        <w:rPr>
          <w:rFonts w:hint="eastAsia"/>
          <w:lang w:val="en-US" w:eastAsia="zh-CN"/>
        </w:rPr>
        <w:t>一、评审流程</w:t>
      </w:r>
      <w:bookmarkEnd w:id="11"/>
    </w:p>
    <w:p w14:paraId="4A1F544A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1. 密封检查、统一拆封；</w:t>
      </w:r>
    </w:p>
    <w:p w14:paraId="24662437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2. 初步评审（资格与符合性审查）；</w:t>
      </w:r>
    </w:p>
    <w:p w14:paraId="27CD0F8E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3. 综合打分评审；</w:t>
      </w:r>
    </w:p>
    <w:p w14:paraId="6D8F7C52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4. 总分汇总、排序确定中选候选人；</w:t>
      </w:r>
    </w:p>
    <w:p w14:paraId="372453B5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5. 评审小组、监督人员签字确认；</w:t>
      </w:r>
    </w:p>
    <w:p w14:paraId="6A3CD523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6. 结果公示。</w:t>
      </w:r>
    </w:p>
    <w:p w14:paraId="3B13E6C5">
      <w:pPr>
        <w:pStyle w:val="2"/>
        <w:numPr>
          <w:ilvl w:val="0"/>
          <w:numId w:val="0"/>
        </w:numPr>
        <w:topLinePunct w:val="0"/>
        <w:ind w:firstLine="640" w:firstLineChars="200"/>
        <w:rPr>
          <w:rFonts w:hint="eastAsia"/>
          <w:lang w:val="en-US" w:eastAsia="zh-CN"/>
        </w:rPr>
      </w:pPr>
      <w:bookmarkStart w:id="12" w:name="heading_12"/>
      <w:r>
        <w:rPr>
          <w:rFonts w:hint="eastAsia"/>
          <w:lang w:val="en-US" w:eastAsia="zh-CN"/>
        </w:rPr>
        <w:t>二、初步评审（全部项合格方可进入打分环节）</w:t>
      </w:r>
      <w:bookmarkEnd w:id="12"/>
    </w:p>
    <w:p w14:paraId="188AEB63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1.项目建设方案完整规范；</w:t>
      </w:r>
    </w:p>
    <w:p w14:paraId="1670DCD9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2. 营业执照、相关资质文件齐全有效；</w:t>
      </w:r>
    </w:p>
    <w:p w14:paraId="3C8DC800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3.项目负责人及团队资料完整；</w:t>
      </w:r>
    </w:p>
    <w:p w14:paraId="01F058AB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4. 类似项目业绩证明材料真实有效；</w:t>
      </w:r>
    </w:p>
    <w:p w14:paraId="250091F3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5 报价表填写规范、总价未超预算；</w:t>
      </w:r>
    </w:p>
    <w:p w14:paraId="4C647E96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6. 提供无重大违法记录书面声明；</w:t>
      </w:r>
    </w:p>
    <w:p w14:paraId="0AD86D8C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7. 近 1年社保缴纳证明齐全；</w:t>
      </w:r>
    </w:p>
    <w:p w14:paraId="580AB59C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8. 近 1年纳税证明齐全；</w:t>
      </w:r>
    </w:p>
    <w:p w14:paraId="1751C28C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9. 全套响应文件加盖单位公章；</w:t>
      </w:r>
    </w:p>
    <w:p w14:paraId="4E58436E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10. 密封完好，按时递交。</w:t>
      </w:r>
    </w:p>
    <w:p w14:paraId="0538385B">
      <w:pPr>
        <w:pStyle w:val="2"/>
        <w:numPr>
          <w:ilvl w:val="0"/>
          <w:numId w:val="0"/>
        </w:numPr>
        <w:topLinePunct w:val="0"/>
        <w:ind w:firstLine="640" w:firstLineChars="200"/>
        <w:rPr>
          <w:rFonts w:hint="eastAsia"/>
          <w:lang w:val="en-US" w:eastAsia="zh-CN"/>
        </w:rPr>
      </w:pPr>
      <w:bookmarkStart w:id="13" w:name="heading_13"/>
      <w:r>
        <w:rPr>
          <w:rFonts w:hint="eastAsia"/>
          <w:lang w:val="en-US" w:eastAsia="zh-CN"/>
        </w:rPr>
        <w:t>三、综合评分表（总分100分）</w:t>
      </w:r>
      <w:bookmarkEnd w:id="13"/>
    </w:p>
    <w:tbl>
      <w:tblPr>
        <w:tblStyle w:val="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71"/>
        <w:gridCol w:w="803"/>
        <w:gridCol w:w="837"/>
        <w:gridCol w:w="860"/>
        <w:gridCol w:w="4879"/>
      </w:tblGrid>
      <w:tr w14:paraId="3E6A896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0" w:hRule="atLeas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2DCAF4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评审维度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8FCF71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总分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9C547D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评审子项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DF2F65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分值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F52FB6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评审标准</w:t>
            </w:r>
          </w:p>
        </w:tc>
      </w:tr>
      <w:tr w14:paraId="52AFC12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F62CCF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技术响应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332FDF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35分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AC9924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基础功能适配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E11F31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20分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0C2874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档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：三大场景均匹配不少于 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核心功能；</w:t>
            </w:r>
          </w:p>
          <w:p w14:paraId="614775C1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档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：三大场景均匹配不少于 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核心功能；</w:t>
            </w:r>
          </w:p>
          <w:p w14:paraId="6AD2471B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档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：三大场景均匹配不少于 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基础功能</w:t>
            </w:r>
          </w:p>
        </w:tc>
      </w:tr>
      <w:tr w14:paraId="147E58B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F6A0F0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5473BD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E40FA8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基础性能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F3D545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15分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6EA1B8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档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：页面加载≤4 秒、核心操作≤4 步，无卡顿；</w:t>
            </w:r>
          </w:p>
          <w:p w14:paraId="5B1AE72F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档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：加载≤5 秒、操作≤5 步，偶有卡顿；</w:t>
            </w:r>
          </w:p>
          <w:p w14:paraId="37124AFF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档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：加载超 5 秒或操作步骤超 5 步，卡顿明显</w:t>
            </w:r>
          </w:p>
        </w:tc>
      </w:tr>
      <w:tr w14:paraId="3596209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298EFC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企业资质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BA571F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20分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1BBE37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基础资质与合规材料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610F5C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20分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333D57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档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：具备 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及以上信息系统资质，纳税、社保证明齐全；</w:t>
            </w:r>
          </w:p>
          <w:p w14:paraId="2B7BEF96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档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：具备 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信息系统资质，纳税、社保证明齐全；</w:t>
            </w:r>
          </w:p>
          <w:p w14:paraId="0A0F1D63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档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：无信息系统资质，纳税、社保证明齐全</w:t>
            </w:r>
          </w:p>
        </w:tc>
      </w:tr>
      <w:tr w14:paraId="2D4EEF9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70640E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类似业绩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3E54C1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20分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44AB6F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项目经验匹配度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BCCECE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20分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0B14BD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档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：近 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有 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个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及以上人工智能类政务信息化项目；</w:t>
            </w:r>
          </w:p>
          <w:p w14:paraId="6D3A16D5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档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：近 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有普通政务信息化项目；</w:t>
            </w:r>
          </w:p>
          <w:p w14:paraId="6FAC84AB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档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：仅具备非政务类信息化项目经验</w:t>
            </w:r>
          </w:p>
        </w:tc>
      </w:tr>
      <w:tr w14:paraId="336C33F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D356FE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报价合理性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70710B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15分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1DF930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报价评分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9ED69F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15分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0C6D93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档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：报价 2.5万（含）-4万元；二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档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：报价4万 - 5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元（含预算）；</w:t>
            </w:r>
          </w:p>
          <w:p w14:paraId="036C72FF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档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：报价低于2.5万元且无合理成本说明</w:t>
            </w:r>
          </w:p>
        </w:tc>
      </w:tr>
      <w:tr w14:paraId="6CA8989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AA3E6E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服务保障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A12E29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10分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7ADF78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运维与需求配合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569B8D"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10分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2CDCEA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档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：1年5×8小时运维，承诺24 小时内解决故障；</w:t>
            </w:r>
          </w:p>
          <w:p w14:paraId="56845B15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档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5×8小时运维，48 小时内解决故障；</w:t>
            </w:r>
          </w:p>
          <w:p w14:paraId="786F6180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档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：仅承诺1年运维，无明确故障处置时效</w:t>
            </w:r>
          </w:p>
        </w:tc>
      </w:tr>
    </w:tbl>
    <w:p w14:paraId="72C21058">
      <w:pPr>
        <w:pStyle w:val="2"/>
        <w:numPr>
          <w:ilvl w:val="0"/>
          <w:numId w:val="0"/>
        </w:numPr>
        <w:topLinePunct w:val="0"/>
        <w:ind w:firstLine="640" w:firstLineChars="200"/>
        <w:rPr>
          <w:rFonts w:hint="eastAsia"/>
          <w:lang w:val="en-US" w:eastAsia="zh-CN"/>
        </w:rPr>
      </w:pPr>
      <w:bookmarkStart w:id="14" w:name="heading_14"/>
      <w:r>
        <w:rPr>
          <w:rFonts w:hint="eastAsia"/>
          <w:lang w:val="en-US" w:eastAsia="zh-CN"/>
        </w:rPr>
        <w:t>四、排名规则</w:t>
      </w:r>
      <w:bookmarkEnd w:id="14"/>
    </w:p>
    <w:p w14:paraId="10E36B55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1. 按综合总分从高到低排序；</w:t>
      </w:r>
    </w:p>
    <w:p w14:paraId="648E4AED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2 总分相同，报价更低者优先；</w:t>
      </w:r>
    </w:p>
    <w:p w14:paraId="719A4F67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3. 总分、报价均一致，近 3年政务信息化项目多的单位优先。</w:t>
      </w:r>
    </w:p>
    <w:p w14:paraId="27D94327">
      <w:pPr>
        <w:pStyle w:val="6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bookmarkStart w:id="15" w:name="heading_15"/>
      <w:r>
        <w:rPr>
          <w:rFonts w:hint="eastAsia"/>
          <w:lang w:val="en-US" w:eastAsia="zh-CN"/>
        </w:rPr>
        <w:t>第七章项目进度安排</w:t>
      </w:r>
      <w:bookmarkEnd w:id="15"/>
    </w:p>
    <w:p w14:paraId="58C43A55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1. 采购公示期：采购公告发布之日起 5个工作日；</w:t>
      </w:r>
    </w:p>
    <w:p w14:paraId="06A06E27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2. 响应文件递交截止：评审会前 2个工作日；</w:t>
      </w:r>
    </w:p>
    <w:p w14:paraId="110D41F9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3 现场综合评审：2026年9月18日前；</w:t>
      </w:r>
    </w:p>
    <w:p w14:paraId="5682CA59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4. 中选结果公示：评审完成后，局官网公示不少于 3个工作日；</w:t>
      </w:r>
    </w:p>
    <w:p w14:paraId="7FFAF3C1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5. 发放中选通知书、签订合同：公示无异议后 3个工作日内。</w:t>
      </w:r>
    </w:p>
    <w:p w14:paraId="13F9B399">
      <w:pPr>
        <w:pStyle w:val="6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bookmarkStart w:id="16" w:name="heading_16"/>
      <w:r>
        <w:rPr>
          <w:rFonts w:hint="eastAsia"/>
          <w:lang w:val="en-US" w:eastAsia="zh-CN"/>
        </w:rPr>
        <w:t>第八章 合同主要条款</w:t>
      </w:r>
      <w:bookmarkEnd w:id="16"/>
    </w:p>
    <w:p w14:paraId="072B2BFF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1. 工期要求：合同签订后 1个月内完成全部开发、验收并上线；</w:t>
      </w:r>
    </w:p>
    <w:p w14:paraId="24275FE0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2. 付款节点（分四阶段支付）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（1）合同签订完成，支付合同总价 10%；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（2）提交完整建设方案并启动开发，支付合同总价 20%；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（3）全部功能开发完成并通过履约验收，支付合同总价 50%；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（4）系统稳定上线运行满 1年，支付剩余 20%；</w:t>
      </w:r>
    </w:p>
    <w:p w14:paraId="3EA5A1FF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3. 质保运维：交付后提供 1年 5×8 小时基础运维服务；</w:t>
      </w:r>
    </w:p>
    <w:p w14:paraId="1DB547F4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4. 验收约束：任一场景核心功能未实现、两次整改仍不合格，采购方有权暂缓、扣减或拒付对应款项，严重违约可解除合同并追回已付款项；</w:t>
      </w:r>
    </w:p>
    <w:p w14:paraId="450FCAB0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5. 知识产权：本项目全部系统、页面、程序、文档成果知识产权归柳州市行政审批局所有；</w:t>
      </w:r>
    </w:p>
    <w:p w14:paraId="4ABE4EDB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6. 需求调整：中标方需配合采购方开展细节优化，单次调整周期不超过 10个工作日。</w:t>
      </w:r>
    </w:p>
    <w:p w14:paraId="36A3E055">
      <w:pPr>
        <w:pStyle w:val="6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bookmarkStart w:id="17" w:name="heading_17"/>
      <w:r>
        <w:rPr>
          <w:rFonts w:hint="eastAsia"/>
          <w:lang w:val="en-US" w:eastAsia="zh-CN"/>
        </w:rPr>
        <w:t>第九章 响应文件标准目录</w:t>
      </w:r>
      <w:bookmarkEnd w:id="17"/>
    </w:p>
    <w:p w14:paraId="49A56FAD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1. 文件封面</w:t>
      </w:r>
    </w:p>
    <w:p w14:paraId="44AB009C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2. 响应函</w:t>
      </w:r>
    </w:p>
    <w:p w14:paraId="60C2652C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3 法定代表人身份证明</w:t>
      </w:r>
    </w:p>
    <w:p w14:paraId="7E44D13F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4 授权委托书（委托代理时提供）</w:t>
      </w:r>
    </w:p>
    <w:p w14:paraId="387DABFC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5. 资格资质证明文件</w:t>
      </w:r>
    </w:p>
    <w:p w14:paraId="7D2AF982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6. 近 3年无重大违法记录声明</w:t>
      </w:r>
    </w:p>
    <w:p w14:paraId="663AB551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7. 纳税、社保缴纳证明复印件</w:t>
      </w:r>
    </w:p>
    <w:p w14:paraId="3EF59856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8. 企业简介、技术服务优势</w:t>
      </w:r>
    </w:p>
    <w:p w14:paraId="5F38018C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9.项目负责人及实施团队资料</w:t>
      </w:r>
    </w:p>
    <w:p w14:paraId="57E3E5E9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10.项目整体建设方案、实施计划、性能保障方案</w:t>
      </w:r>
    </w:p>
    <w:p w14:paraId="406E92E1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11. 类似项目业绩证明材料</w:t>
      </w:r>
    </w:p>
    <w:p w14:paraId="26B1F2AE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12.项目总价包干报价表</w:t>
      </w:r>
    </w:p>
    <w:p w14:paraId="69D291AD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13. 运维服务、需求调整配合承诺书</w:t>
      </w:r>
    </w:p>
    <w:p w14:paraId="6617B37E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14. 其他补充材料</w:t>
      </w:r>
    </w:p>
    <w:p w14:paraId="72BB5481">
      <w:pPr>
        <w:pStyle w:val="6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bookmarkStart w:id="18" w:name="heading_18"/>
      <w:r>
        <w:rPr>
          <w:rFonts w:hint="eastAsia"/>
          <w:lang w:val="en-US" w:eastAsia="zh-CN"/>
        </w:rPr>
        <w:t>第十章 附则</w:t>
      </w:r>
      <w:bookmarkEnd w:id="18"/>
    </w:p>
    <w:p w14:paraId="3BB85EF0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1. 本项目为单位自行采购，参照综合评分流程组织，不属于法定招投标项目；</w:t>
      </w:r>
    </w:p>
    <w:p w14:paraId="22CD38FE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2. 采购单位有权根据工作实际对项目需求进行合理微调；</w:t>
      </w:r>
    </w:p>
    <w:p w14:paraId="1F1245C2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3. 所有响应文件编制、打印、密封等相关费用由响应人自行承担；</w:t>
      </w:r>
    </w:p>
    <w:p w14:paraId="14C9A39F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4. 采购全过程由电子政务科、机关纪委、财务科共同监督，评审资料统一归档留存；</w:t>
      </w:r>
    </w:p>
    <w:p w14:paraId="3EAF2D16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5. 本采购文件未尽事宜，参照政府采购相关管理规定执行。</w:t>
      </w:r>
    </w:p>
    <w:p w14:paraId="3FEEBC36">
      <w:pPr>
        <w:numPr>
          <w:ilvl w:val="0"/>
          <w:numId w:val="0"/>
        </w:numPr>
        <w:spacing w:before="120" w:after="120" w:line="288" w:lineRule="auto"/>
        <w:ind w:left="638" w:leftChars="304" w:firstLine="0" w:firstLineChars="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采购人：柳州市行政审批局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采购科室：电子政务科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联系人：李沃潮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>编制日期：2026年8月 25日</w:t>
      </w:r>
    </w:p>
    <w:p w14:paraId="0243C526">
      <w:pPr>
        <w:numPr>
          <w:ilvl w:val="0"/>
          <w:numId w:val="0"/>
        </w:numPr>
        <w:spacing w:before="120" w:after="120" w:line="288" w:lineRule="auto"/>
        <w:ind w:leftChars="0" w:firstLine="616" w:firstLineChars="200"/>
        <w:jc w:val="left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D942B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2075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C3E12"/>
    <w:rsid w:val="1F5935E0"/>
    <w:rsid w:val="1FB1315E"/>
    <w:rsid w:val="2AD2296E"/>
    <w:rsid w:val="3C6230A7"/>
    <w:rsid w:val="538358EE"/>
    <w:rsid w:val="7A665B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customStyle="1" w:styleId="6">
    <w:name w:val="章标题"/>
    <w:next w:val="1"/>
    <w:qFormat/>
    <w:uiPriority w:val="0"/>
    <w:pPr>
      <w:widowControl w:val="0"/>
      <w:spacing w:line="560" w:lineRule="exact"/>
      <w:jc w:val="center"/>
      <w:outlineLvl w:val="0"/>
    </w:pPr>
    <w:rPr>
      <w:rFonts w:ascii="黑体" w:hAnsi="黑体" w:eastAsia="黑体" w:cs="黑体"/>
      <w:bCs/>
      <w:spacing w:val="-6"/>
      <w:kern w:val="44"/>
      <w:sz w:val="32"/>
      <w:szCs w:val="32"/>
      <w:lang w:bidi="ar-SA"/>
    </w:rPr>
  </w:style>
  <w:style w:type="character" w:customStyle="1" w:styleId="7">
    <w:name w:val="标题 1 Char"/>
    <w:link w:val="2"/>
    <w:qFormat/>
    <w:uiPriority w:val="0"/>
    <w:rPr>
      <w:rFonts w:ascii="黑体" w:hAnsi="黑体" w:eastAsia="黑体" w:cs="黑体"/>
      <w:kern w:val="44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2308</Words>
  <Characters>2400</Characters>
  <TotalTime>16</TotalTime>
  <ScaleCrop>false</ScaleCrop>
  <LinksUpToDate>false</LinksUpToDate>
  <CharactersWithSpaces>2576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2026-07-27T03:03:00Z</dcterms:created>
  <dc:creator>Apache POI</dc:creator>
  <cp:lastModifiedBy>눈_눈</cp:lastModifiedBy>
  <dcterms:modified xsi:type="dcterms:W3CDTF">2026-08-26T01:11:39Z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{"Label":"1","ContentProducer":"001191110102MACQD9K64010000","ProduceID":"7667038128403418337","ReservedCode1":"","ContentPropagator":"","PropagateID":"","ReservedCode2":""}</vt:lpwstr>
  </property>
  <property fmtid="{D5CDD505-2E9C-101B-9397-08002B2CF9AE}" pid="3" name="KSOTemplateDocerSaveRecord">
    <vt:lpwstr>eyJoZGlkIjoiN2FkOGNkZGMxNDlhN2E2ZTRmYzQwZmI3NmRjYTViMWMiLCJ1c2VySWQiOiIzNzc5MDM1NDYifQ==</vt:lpwstr>
  </property>
  <property fmtid="{D5CDD505-2E9C-101B-9397-08002B2CF9AE}" pid="4" name="KSOProductBuildVer">
    <vt:lpwstr>2052-12.1.0.28043</vt:lpwstr>
  </property>
  <property fmtid="{D5CDD505-2E9C-101B-9397-08002B2CF9AE}" pid="5" name="ICV">
    <vt:lpwstr>CB899FA0ABCB491FABB365FAE056DB27_13</vt:lpwstr>
  </property>
</Properties>
</file>