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137F6"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hd w:val="clear" w:color="auto" w:fill="FFFFFF"/>
        <w:spacing w:before="100" w:beforeLines="-2147483648" w:beforeAutospacing="1" w:after="60" w:afterLines="-2147483648" w:afterAutospacing="0" w:line="240" w:lineRule="auto"/>
        <w:ind w:left="0" w:right="0"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spacing w:val="0"/>
          <w:sz w:val="48"/>
          <w:szCs w:val="48"/>
          <w:shd w:val="clear" w:color="auto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spacing w:val="0"/>
          <w:sz w:val="48"/>
          <w:szCs w:val="48"/>
          <w:shd w:val="clear" w:color="auto" w:fill="FFFFFF"/>
          <w:lang w:val="en-US" w:eastAsia="zh-CN" w:bidi="ar"/>
        </w:rPr>
        <w:t>辅助选择企业住所（经营场所）服务场景建设项目采购及评审文件</w:t>
      </w:r>
    </w:p>
    <w:p w14:paraId="3ADCC21D">
      <w:pPr>
        <w:pStyle w:val="8"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0" w:name="heading_0"/>
    </w:p>
    <w:p w14:paraId="78C44EBB">
      <w:pPr>
        <w:pStyle w:val="8"/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第一章 响应邀请</w:t>
      </w:r>
      <w:bookmarkEnd w:id="0"/>
    </w:p>
    <w:p w14:paraId="1E66EE5E">
      <w:pPr>
        <w:pStyle w:val="3"/>
        <w:numPr>
          <w:ilvl w:val="0"/>
          <w:numId w:val="0"/>
        </w:numPr>
        <w:topLinePunct w:val="0"/>
        <w:ind w:left="0" w:leftChars="0" w:firstLine="616"/>
        <w:jc w:val="left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9"/>
        </w:rPr>
        <w:t>项目名称：</w:t>
      </w:r>
      <w:r>
        <w:rPr>
          <w:rFonts w:ascii="Times New Roman" w:hAnsi="Times New Roman" w:eastAsia="仿宋_GB2312" w:cs="仿宋_GB2312"/>
          <w:sz w:val="32"/>
          <w:szCs w:val="32"/>
        </w:rPr>
        <w:t>辅助选择企业住所（经营场所）服务场景建设项目</w:t>
      </w:r>
      <w:r>
        <w:rPr>
          <w:rFonts w:ascii="Times New Roman" w:hAnsi="Times New Roman" w:eastAsia="仿宋_GB2312" w:cs="仿宋_GB2312"/>
          <w:sz w:val="32"/>
          <w:szCs w:val="32"/>
        </w:rPr>
        <w:br w:type="textWrapping"/>
      </w:r>
      <w:r>
        <w:rPr>
          <w:rFonts w:hint="eastAsia" w:cs="仿宋_GB2312"/>
          <w:sz w:val="32"/>
          <w:szCs w:val="32"/>
          <w:lang w:val="en-US" w:eastAsia="zh-CN"/>
        </w:rPr>
        <w:t xml:space="preserve">       项</w:t>
      </w:r>
      <w:r>
        <w:rPr>
          <w:rStyle w:val="9"/>
        </w:rPr>
        <w:t>目地点：</w:t>
      </w:r>
      <w:r>
        <w:rPr>
          <w:rFonts w:ascii="Times New Roman" w:hAnsi="Times New Roman" w:eastAsia="仿宋_GB2312" w:cs="仿宋_GB2312"/>
          <w:sz w:val="32"/>
          <w:szCs w:val="32"/>
        </w:rPr>
        <w:t>柳州市</w:t>
      </w:r>
      <w:r>
        <w:rPr>
          <w:rFonts w:ascii="Times New Roman" w:hAnsi="Times New Roman" w:eastAsia="仿宋_GB2312" w:cs="仿宋_GB2312"/>
          <w:sz w:val="32"/>
          <w:szCs w:val="32"/>
        </w:rPr>
        <w:br w:type="textWrapping"/>
      </w:r>
      <w:r>
        <w:rPr>
          <w:rFonts w:hint="eastAsia" w:cs="仿宋_GB2312"/>
          <w:sz w:val="32"/>
          <w:szCs w:val="32"/>
          <w:lang w:val="en-US" w:eastAsia="zh-CN"/>
        </w:rPr>
        <w:t xml:space="preserve">        </w:t>
      </w:r>
      <w:r>
        <w:rPr>
          <w:rStyle w:val="9"/>
        </w:rPr>
        <w:t>采购方式：</w:t>
      </w:r>
      <w:r>
        <w:rPr>
          <w:rFonts w:ascii="Times New Roman" w:hAnsi="Times New Roman" w:eastAsia="仿宋_GB2312" w:cs="仿宋_GB2312"/>
          <w:sz w:val="32"/>
          <w:szCs w:val="32"/>
        </w:rPr>
        <w:t>自行采购</w:t>
      </w:r>
      <w:r>
        <w:rPr>
          <w:rFonts w:ascii="Times New Roman" w:hAnsi="Times New Roman" w:eastAsia="仿宋_GB2312" w:cs="仿宋_GB2312"/>
          <w:sz w:val="32"/>
          <w:szCs w:val="32"/>
        </w:rPr>
        <w:br w:type="textWrapping"/>
      </w:r>
      <w:r>
        <w:rPr>
          <w:rFonts w:hint="eastAsia" w:cs="仿宋_GB2312"/>
          <w:sz w:val="32"/>
          <w:szCs w:val="32"/>
          <w:lang w:val="en-US" w:eastAsia="zh-CN"/>
        </w:rPr>
        <w:t xml:space="preserve">       项</w:t>
      </w:r>
      <w:r>
        <w:rPr>
          <w:rStyle w:val="9"/>
        </w:rPr>
        <w:t>目内容：</w:t>
      </w:r>
      <w:r>
        <w:rPr>
          <w:rFonts w:ascii="Times New Roman" w:hAnsi="Times New Roman" w:eastAsia="仿宋_GB2312" w:cs="仿宋_GB2312"/>
          <w:sz w:val="32"/>
          <w:szCs w:val="32"/>
        </w:rPr>
        <w:t>PC 端 + H5 服务场景页面设计、三大查询场景开发、后端管理模块搭建、智能辅助审查服务开发、1</w:t>
      </w:r>
      <w:r>
        <w:rPr>
          <w:rFonts w:hint="eastAsia" w:cs="仿宋_GB2312"/>
          <w:sz w:val="32"/>
          <w:szCs w:val="32"/>
          <w:lang w:eastAsia="zh-CN"/>
        </w:rPr>
        <w:t>年</w:t>
      </w:r>
      <w:r>
        <w:rPr>
          <w:rFonts w:ascii="Times New Roman" w:hAnsi="Times New Roman" w:eastAsia="仿宋_GB2312" w:cs="仿宋_GB2312"/>
          <w:sz w:val="32"/>
          <w:szCs w:val="32"/>
        </w:rPr>
        <w:t>基础运维服务</w:t>
      </w:r>
      <w:r>
        <w:rPr>
          <w:rFonts w:ascii="Times New Roman" w:hAnsi="Times New Roman" w:eastAsia="仿宋_GB2312" w:cs="仿宋_GB2312"/>
          <w:sz w:val="32"/>
          <w:szCs w:val="32"/>
        </w:rPr>
        <w:br w:type="textWrapping"/>
      </w:r>
      <w:r>
        <w:rPr>
          <w:rFonts w:hint="eastAsia" w:cs="仿宋_GB2312"/>
          <w:sz w:val="32"/>
          <w:szCs w:val="32"/>
          <w:lang w:val="en-US" w:eastAsia="zh-CN"/>
        </w:rPr>
        <w:t xml:space="preserve">        </w:t>
      </w:r>
      <w:r>
        <w:rPr>
          <w:rStyle w:val="9"/>
        </w:rPr>
        <w:t>总工期：</w:t>
      </w:r>
      <w:r>
        <w:rPr>
          <w:rFonts w:ascii="Times New Roman" w:hAnsi="Times New Roman" w:eastAsia="仿宋_GB2312" w:cs="仿宋_GB2312"/>
          <w:sz w:val="32"/>
          <w:szCs w:val="32"/>
        </w:rPr>
        <w:t>合同签订后 1</w:t>
      </w:r>
      <w:r>
        <w:rPr>
          <w:rFonts w:hint="eastAsia" w:cs="仿宋_GB2312"/>
          <w:sz w:val="32"/>
          <w:szCs w:val="32"/>
          <w:lang w:eastAsia="zh-CN"/>
        </w:rPr>
        <w:t>个</w:t>
      </w:r>
      <w:r>
        <w:rPr>
          <w:rFonts w:ascii="Times New Roman" w:hAnsi="Times New Roman" w:eastAsia="仿宋_GB2312" w:cs="仿宋_GB2312"/>
          <w:sz w:val="32"/>
          <w:szCs w:val="32"/>
        </w:rPr>
        <w:t>月内完成开发、验收并上线运行</w:t>
      </w:r>
      <w:r>
        <w:rPr>
          <w:rFonts w:ascii="Times New Roman" w:hAnsi="Times New Roman" w:eastAsia="仿宋_GB2312" w:cs="仿宋_GB2312"/>
          <w:sz w:val="32"/>
          <w:szCs w:val="32"/>
        </w:rPr>
        <w:br w:type="textWrapping"/>
      </w:r>
      <w:r>
        <w:rPr>
          <w:rFonts w:hint="eastAsia" w:cs="仿宋_GB2312"/>
          <w:sz w:val="32"/>
          <w:szCs w:val="32"/>
          <w:lang w:val="en-US" w:eastAsia="zh-CN"/>
        </w:rPr>
        <w:t xml:space="preserve">        </w:t>
      </w:r>
      <w:r>
        <w:rPr>
          <w:rStyle w:val="9"/>
        </w:rPr>
        <w:t>采购预算</w:t>
      </w:r>
      <w:r>
        <w:rPr>
          <w:rStyle w:val="9"/>
          <w:rFonts w:hint="eastAsia" w:eastAsia="黑体"/>
          <w:lang w:eastAsia="zh-CN"/>
        </w:rPr>
        <w:t>上限</w:t>
      </w:r>
      <w:r>
        <w:rPr>
          <w:rStyle w:val="9"/>
        </w:rPr>
        <w:t>：</w:t>
      </w:r>
      <w:r>
        <w:rPr>
          <w:rFonts w:ascii="Times New Roman" w:hAnsi="Times New Roman" w:eastAsia="仿宋_GB2312" w:cs="仿宋_GB2312"/>
          <w:sz w:val="32"/>
          <w:szCs w:val="32"/>
        </w:rPr>
        <w:t>¥50000.00</w:t>
      </w:r>
      <w:r>
        <w:rPr>
          <w:rFonts w:hint="eastAsia" w:cs="仿宋_GB2312"/>
          <w:sz w:val="32"/>
          <w:szCs w:val="32"/>
          <w:lang w:eastAsia="zh-CN"/>
        </w:rPr>
        <w:t>元</w:t>
      </w:r>
      <w:r>
        <w:rPr>
          <w:rFonts w:ascii="Times New Roman" w:hAnsi="Times New Roman" w:eastAsia="仿宋_GB2312" w:cs="仿宋_GB2312"/>
          <w:sz w:val="32"/>
          <w:szCs w:val="32"/>
        </w:rPr>
        <w:t>（大写：人民币伍万元整）</w:t>
      </w:r>
      <w:r>
        <w:rPr>
          <w:rFonts w:ascii="Times New Roman" w:hAnsi="Times New Roman" w:eastAsia="仿宋_GB2312" w:cs="仿宋_GB2312"/>
          <w:sz w:val="32"/>
          <w:szCs w:val="32"/>
        </w:rPr>
        <w:br w:type="textWrapping"/>
      </w:r>
      <w:r>
        <w:rPr>
          <w:rFonts w:hint="eastAsia" w:cs="仿宋_GB2312"/>
          <w:sz w:val="32"/>
          <w:szCs w:val="32"/>
          <w:lang w:val="en-US" w:eastAsia="zh-CN"/>
        </w:rPr>
        <w:t xml:space="preserve">        </w:t>
      </w:r>
      <w:r>
        <w:rPr>
          <w:rStyle w:val="9"/>
        </w:rPr>
        <w:t>评审时间：</w:t>
      </w:r>
      <w:r>
        <w:rPr>
          <w:rFonts w:ascii="Times New Roman" w:hAnsi="Times New Roman" w:eastAsia="仿宋_GB2312" w:cs="仿宋_GB2312"/>
          <w:sz w:val="32"/>
          <w:szCs w:val="32"/>
        </w:rPr>
        <w:t>2026</w:t>
      </w:r>
      <w:r>
        <w:rPr>
          <w:rFonts w:hint="eastAsia" w:cs="仿宋_GB2312"/>
          <w:sz w:val="32"/>
          <w:szCs w:val="32"/>
          <w:lang w:eastAsia="zh-CN"/>
        </w:rPr>
        <w:t>年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 月 日 （北京时间）</w:t>
      </w:r>
    </w:p>
    <w:p w14:paraId="47311D38">
      <w:pPr>
        <w:pStyle w:val="8"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1" w:name="heading_1"/>
    </w:p>
    <w:p w14:paraId="6CE6BA55">
      <w:pPr>
        <w:pStyle w:val="8"/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第二章 响应人资格要求</w:t>
      </w:r>
      <w:bookmarkEnd w:id="1"/>
    </w:p>
    <w:p w14:paraId="0C541143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>1. 在中国境内依法注册登记，具备独立市场主体资格，营业执照经营范围包含信息技术服务、软件开发相关内容。</w:t>
      </w:r>
    </w:p>
    <w:p w14:paraId="4C25CA7F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>. 至少具备一项信息系统相关资质（信息系统运行维护资质、信息系统集成资质、软件企业资质等任一即可）。</w:t>
      </w:r>
    </w:p>
    <w:p w14:paraId="70F748B2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 xml:space="preserve"> 近 3年内经营活动无重大违法记录，可提供近 1年依法纳税证明、社会保障资金缴纳证明。</w:t>
      </w:r>
    </w:p>
    <w:p w14:paraId="77E97D92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>. 近 3年拥有至少 1项数字化应用项目实施业绩，须提供对应项目合同或验收材料复印件佐证。</w:t>
      </w:r>
    </w:p>
    <w:p w14:paraId="442D7996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>. 具备完成本项目所需技术实施团队，承诺中标后配合采购方完成需求细节调整，服从采购方合理工作安排。</w:t>
      </w:r>
    </w:p>
    <w:p w14:paraId="2CC9CEAF">
      <w:pPr>
        <w:pStyle w:val="8"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2" w:name="heading_2"/>
    </w:p>
    <w:p w14:paraId="66B99DC2">
      <w:pPr>
        <w:pStyle w:val="8"/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第三章 采购需求（技术要求）</w:t>
      </w:r>
      <w:bookmarkEnd w:id="2"/>
    </w:p>
    <w:p w14:paraId="3376567F">
      <w:pPr>
        <w:pStyle w:val="2"/>
        <w:numPr>
          <w:ilvl w:val="0"/>
          <w:numId w:val="0"/>
        </w:numPr>
        <w:topLinePunct w:val="0"/>
        <w:ind w:firstLine="640" w:firstLineChars="200"/>
        <w:rPr>
          <w:rFonts w:hint="eastAsia"/>
          <w:lang w:val="en-US" w:eastAsia="zh-CN"/>
        </w:rPr>
      </w:pPr>
      <w:bookmarkStart w:id="3" w:name="heading_3"/>
      <w:r>
        <w:rPr>
          <w:rFonts w:hint="eastAsia"/>
          <w:lang w:val="en-US" w:eastAsia="zh-CN"/>
        </w:rPr>
        <w:t>一、建设目标</w:t>
      </w:r>
      <w:bookmarkEnd w:id="3"/>
    </w:p>
    <w:p w14:paraId="30B7A989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基础功能可用：完成 3个核心场景基础框架搭建，查询、评估等核心服务正常运行；</w:t>
      </w:r>
    </w:p>
    <w:p w14:paraId="48FF9D1A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 xml:space="preserve">. 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基础性能达标：100M 带宽环境下页面加载速度≤4 秒，全部核心操作步骤≤4 步，页面无卡顿、排版错位问题；</w:t>
      </w:r>
    </w:p>
    <w:p w14:paraId="2BE5E84E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 xml:space="preserve">. 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适配拓展灵活：预留功能调整接口，后台支持非技术人员自主完成内容更新；</w:t>
      </w:r>
    </w:p>
    <w:p w14:paraId="5A8747FD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 xml:space="preserve"> 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交付时限：合同签订后 1个月内完成全功能开发、测试、验收并正式上线。</w:t>
      </w:r>
    </w:p>
    <w:p w14:paraId="59308D07">
      <w:pPr>
        <w:pStyle w:val="2"/>
        <w:numPr>
          <w:ilvl w:val="0"/>
          <w:numId w:val="0"/>
        </w:numPr>
        <w:topLinePunct w:val="0"/>
        <w:ind w:firstLine="640" w:firstLineChars="200"/>
        <w:rPr>
          <w:rFonts w:hint="eastAsia"/>
          <w:lang w:val="en-US" w:eastAsia="zh-CN"/>
        </w:rPr>
      </w:pPr>
      <w:bookmarkStart w:id="4" w:name="heading_4"/>
      <w:r>
        <w:rPr>
          <w:rFonts w:hint="eastAsia"/>
          <w:lang w:val="en-US" w:eastAsia="zh-CN"/>
        </w:rPr>
        <w:t>二、功能开发清单</w:t>
      </w:r>
      <w:bookmarkEnd w:id="4"/>
    </w:p>
    <w:tbl>
      <w:tblPr>
        <w:tblStyle w:val="5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78"/>
        <w:gridCol w:w="1640"/>
        <w:gridCol w:w="5862"/>
      </w:tblGrid>
      <w:tr w14:paraId="06D9001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F32177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265153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功能模块</w:t>
            </w:r>
          </w:p>
        </w:tc>
        <w:tc>
          <w:tcPr>
            <w:tcW w:w="5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002D5A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开发内容要求</w:t>
            </w:r>
          </w:p>
        </w:tc>
      </w:tr>
      <w:tr w14:paraId="2916B41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110E02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7E0692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综合服务首页</w:t>
            </w:r>
          </w:p>
        </w:tc>
        <w:tc>
          <w:tcPr>
            <w:tcW w:w="5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06589A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统一展示三大服务场景入口，区分登录 / 未登录访问权限，统一视觉交互设计，适配 PC 端、H5 移动端</w:t>
            </w:r>
          </w:p>
        </w:tc>
      </w:tr>
      <w:tr w14:paraId="72A99BC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B09884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FE0D1F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已备案地址查询场景</w:t>
            </w:r>
          </w:p>
        </w:tc>
        <w:tc>
          <w:tcPr>
            <w:tcW w:w="5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73983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地址模糊检索、地图选点定位、备案地址自动判定、办事材料简化提示、免责声明弹窗展示</w:t>
            </w:r>
          </w:p>
        </w:tc>
      </w:tr>
      <w:tr w14:paraId="1A765FA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A17002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BCBE78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限制性场地查询场景</w:t>
            </w:r>
          </w:p>
        </w:tc>
        <w:tc>
          <w:tcPr>
            <w:tcW w:w="5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6F4A44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风险地址检索、地图点位标注、经营风险弹窗提示、合规告知说明展示</w:t>
            </w:r>
          </w:p>
        </w:tc>
      </w:tr>
      <w:tr w14:paraId="76DD923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B9DF6D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87214D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经营许可场地自检场景</w:t>
            </w:r>
          </w:p>
        </w:tc>
        <w:tc>
          <w:tcPr>
            <w:tcW w:w="5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6D4DEA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行业分类选择、风险评估问题填报、规则自动评估、风险条款及对应法律依据展示、一键重新评估功能</w:t>
            </w:r>
          </w:p>
        </w:tc>
      </w:tr>
      <w:tr w14:paraId="283CAF7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224F2C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FA85C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后端管理模块</w:t>
            </w:r>
          </w:p>
        </w:tc>
        <w:tc>
          <w:tcPr>
            <w:tcW w:w="5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F1ED0F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地址管理、行业管理、评估问题管理、数据统计分析、全量操作日志、用户管理、角色权限管理，后台基础操作≤3 步</w:t>
            </w:r>
          </w:p>
        </w:tc>
      </w:tr>
      <w:tr w14:paraId="11EDF2A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E62A5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AE8120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智能辅助审查服务</w:t>
            </w:r>
          </w:p>
        </w:tc>
        <w:tc>
          <w:tcPr>
            <w:tcW w:w="5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27A7EC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为审批工作人员提供三大场景配套智能核验能力，实现经营地址合规性快速辅助审查</w:t>
            </w:r>
          </w:p>
        </w:tc>
      </w:tr>
    </w:tbl>
    <w:p w14:paraId="7168F8BE">
      <w:pPr>
        <w:pStyle w:val="2"/>
        <w:numPr>
          <w:ilvl w:val="0"/>
          <w:numId w:val="0"/>
        </w:numPr>
        <w:topLinePunct w:val="0"/>
        <w:ind w:firstLine="640" w:firstLineChars="200"/>
        <w:rPr>
          <w:rFonts w:hint="eastAsia"/>
          <w:lang w:val="en-US" w:eastAsia="zh-CN"/>
        </w:rPr>
      </w:pPr>
      <w:bookmarkStart w:id="5" w:name="heading_5"/>
      <w:r>
        <w:rPr>
          <w:rFonts w:hint="eastAsia"/>
          <w:lang w:val="en-US" w:eastAsia="zh-CN"/>
        </w:rPr>
        <w:t>三、实施计划（总工期 1个月）</w:t>
      </w:r>
      <w:bookmarkEnd w:id="5"/>
    </w:p>
    <w:p w14:paraId="7093DFCA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（一）第 1-7 日：需求确认、UI 界面设计、基础框架开发、方案确认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 xml:space="preserve">        （二）第 8-20 日：三大业务场景、后台管理、智能辅助审查功能开发、内部联调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 xml:space="preserve">       （三）第 21-28 日：性能优化、全场景测试、问题整改、技术文档编制、运维方案落地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 xml:space="preserve">       （四）第 29-30 日：整体演示、履约验收、系统上线交付</w:t>
      </w:r>
    </w:p>
    <w:p w14:paraId="2A2BD7E7">
      <w:pPr>
        <w:pStyle w:val="2"/>
        <w:numPr>
          <w:ilvl w:val="0"/>
          <w:numId w:val="0"/>
        </w:numPr>
        <w:topLinePunct w:val="0"/>
        <w:ind w:firstLine="640" w:firstLineChars="200"/>
        <w:rPr>
          <w:rFonts w:hint="eastAsia"/>
          <w:lang w:val="en-US" w:eastAsia="zh-CN"/>
        </w:rPr>
      </w:pPr>
      <w:bookmarkStart w:id="6" w:name="heading_6"/>
      <w:r>
        <w:rPr>
          <w:rFonts w:hint="eastAsia"/>
          <w:lang w:val="en-US" w:eastAsia="zh-CN"/>
        </w:rPr>
        <w:t>四、交付物</w:t>
      </w:r>
      <w:bookmarkEnd w:id="6"/>
    </w:p>
    <w:p w14:paraId="46B004F2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PC 端 + H5 全场景可上线系统一套；</w:t>
      </w:r>
    </w:p>
    <w:p w14:paraId="053D2E0C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 配套后台权限管理系统；</w:t>
      </w:r>
    </w:p>
    <w:p w14:paraId="6D022D31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3. 完整技术文档：后台图文操作手册、基础接口说明文档；</w:t>
      </w:r>
    </w:p>
    <w:p w14:paraId="370B6694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4. 1年基础运维服务承诺函、需求调整配合承诺书。</w:t>
      </w:r>
    </w:p>
    <w:p w14:paraId="4957E892">
      <w:pPr>
        <w:pStyle w:val="2"/>
        <w:numPr>
          <w:ilvl w:val="0"/>
          <w:numId w:val="0"/>
        </w:numPr>
        <w:topLinePunct w:val="0"/>
        <w:ind w:firstLine="640" w:firstLineChars="200"/>
        <w:rPr>
          <w:rFonts w:hint="eastAsia"/>
          <w:lang w:val="en-US" w:eastAsia="zh-CN"/>
        </w:rPr>
      </w:pPr>
      <w:bookmarkStart w:id="7" w:name="heading_7"/>
      <w:r>
        <w:rPr>
          <w:rFonts w:hint="eastAsia"/>
          <w:lang w:val="en-US" w:eastAsia="zh-CN"/>
        </w:rPr>
        <w:t>五、验收标准</w:t>
      </w:r>
      <w:bookmarkEnd w:id="7"/>
    </w:p>
    <w:p w14:paraId="6756D54A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全部前端场景、后台管理、智能辅助审查功能完整实现，按钮、检索、评估等功能均可正常使用；</w:t>
      </w:r>
    </w:p>
    <w:p w14:paraId="00A83D34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2. 页面加载、操作步骤等性能指标满足建设目标要求，移动端、PC 端展示无错位、卡顿；</w:t>
      </w:r>
    </w:p>
    <w:p w14:paraId="1106FB4A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3. 后台支持非技术人员完成内容更新，操作日志完整可查、权限划分清晰；</w:t>
      </w:r>
    </w:p>
    <w:p w14:paraId="00395009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4. 全套技术资料、服务承诺文件齐全；</w:t>
      </w:r>
    </w:p>
    <w:p w14:paraId="6ADB9169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系统稳定运行，整改次数不超过 2 次，复核通过视为验收合格。</w:t>
      </w:r>
    </w:p>
    <w:p w14:paraId="409D7AF1">
      <w:pPr>
        <w:pStyle w:val="8"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8" w:name="heading_8"/>
      <w:r>
        <w:rPr>
          <w:rFonts w:hint="eastAsia"/>
          <w:lang w:eastAsia="zh-CN"/>
        </w:rPr>
        <w:t>第四章 响应文件编制要求</w:t>
      </w:r>
      <w:bookmarkEnd w:id="8"/>
    </w:p>
    <w:p w14:paraId="29215B78">
      <w:pPr>
        <w:numPr>
          <w:ilvl w:val="0"/>
          <w:numId w:val="0"/>
        </w:numPr>
        <w:spacing w:before="120" w:after="120" w:line="288" w:lineRule="auto"/>
        <w:ind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响应文件须包含以下资料：</w:t>
      </w:r>
      <w:r>
        <w:rPr>
          <w:rFonts w:hint="eastAsia" w:ascii="Times New Roman" w:hAnsi="Times New Roman" w:eastAsia="仿宋_GB2312" w:cs="仿宋_GB2312"/>
          <w:b w:val="0"/>
          <w:bCs w:val="0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（1）响应函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（2）法定代表人身份证明 / 授权委托书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（3）营业执照、信息系统相关资质证书复印件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（4）近 3年无重大违法记录声明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（5）近 1年纳税、社保资金缴纳证明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（6）公司简介及技术服务优势说明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（7）项目负责人、实施团队人员资料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（8）完整项目建设方案（含实施周期、性能保障、运维方案）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（9）近 3年类似项目业绩证明（合同、验收材料复印件）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（10）总价包干报价表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（11）售后服务及需求调整配合承诺书</w:t>
      </w:r>
    </w:p>
    <w:p w14:paraId="2EB0127C">
      <w:pPr>
        <w:numPr>
          <w:ilvl w:val="0"/>
          <w:numId w:val="0"/>
        </w:numPr>
        <w:spacing w:before="120" w:after="120" w:line="288" w:lineRule="auto"/>
        <w:ind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2. 全部文件每页加盖单位公章，未盖章视为无效响应；</w:t>
      </w:r>
    </w:p>
    <w:p w14:paraId="658CBA76">
      <w:pPr>
        <w:numPr>
          <w:ilvl w:val="0"/>
          <w:numId w:val="0"/>
        </w:numPr>
        <w:spacing w:before="120" w:after="120" w:line="288" w:lineRule="auto"/>
        <w:ind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3. 全套材料密封包装，文件封面标注项目名称、响应单位、联系人、联系电话。</w:t>
      </w:r>
    </w:p>
    <w:p w14:paraId="20C36556">
      <w:pPr>
        <w:pStyle w:val="8"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9" w:name="heading_9"/>
      <w:r>
        <w:rPr>
          <w:rFonts w:hint="eastAsia"/>
          <w:lang w:eastAsia="zh-CN"/>
        </w:rPr>
        <w:t>第五章 报价要求</w:t>
      </w:r>
      <w:bookmarkEnd w:id="9"/>
    </w:p>
    <w:p w14:paraId="5EFD2B8D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本次报价为总价包干，包含页面设计、功能开发、系统部署、测试、技术文档、1年 5×8 小时基础运维、税费等全部费用；</w:t>
      </w:r>
    </w:p>
    <w:p w14:paraId="69ABE358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总报价不得超过采购预算上限5万元，超出预算按无效响应处理；</w:t>
      </w:r>
    </w:p>
    <w:p w14:paraId="1E3503E2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2. 报价区间参考：合理报价区间2.5万元 - 5万元，低于2.5万元且无完整合理成本说明，报价项不予得分；</w:t>
      </w:r>
    </w:p>
    <w:p w14:paraId="7CB5AA89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3. 常规细节优化不额外计费，如需新增核心业务功能，双方另行协商补充预算，不计入本次5万元预算。</w:t>
      </w:r>
    </w:p>
    <w:p w14:paraId="1D397FF0">
      <w:pPr>
        <w:pStyle w:val="8"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10" w:name="heading_10"/>
      <w:r>
        <w:rPr>
          <w:rFonts w:hint="eastAsia"/>
          <w:lang w:eastAsia="zh-CN"/>
        </w:rPr>
        <w:t>第六章 评审程序与标准</w:t>
      </w:r>
      <w:bookmarkEnd w:id="10"/>
    </w:p>
    <w:p w14:paraId="74A7EB3F">
      <w:pPr>
        <w:pStyle w:val="2"/>
        <w:numPr>
          <w:ilvl w:val="0"/>
          <w:numId w:val="0"/>
        </w:numPr>
        <w:topLinePunct w:val="0"/>
        <w:ind w:firstLine="640" w:firstLineChars="200"/>
        <w:rPr>
          <w:rFonts w:hint="eastAsia"/>
          <w:lang w:val="en-US" w:eastAsia="zh-CN"/>
        </w:rPr>
      </w:pPr>
      <w:bookmarkStart w:id="11" w:name="heading_11"/>
      <w:r>
        <w:rPr>
          <w:rFonts w:hint="eastAsia"/>
          <w:lang w:val="en-US" w:eastAsia="zh-CN"/>
        </w:rPr>
        <w:t>一、评审流程</w:t>
      </w:r>
      <w:bookmarkEnd w:id="11"/>
    </w:p>
    <w:p w14:paraId="4A1F544A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密封检查、统一拆封；</w:t>
      </w:r>
    </w:p>
    <w:p w14:paraId="24662437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2. 初步评审（资格与符合性审查）；</w:t>
      </w:r>
    </w:p>
    <w:p w14:paraId="27CD0F8E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3. 综合打分评审；</w:t>
      </w:r>
    </w:p>
    <w:p w14:paraId="6D8F7C52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4. 总分汇总、排序确定中选候选人；</w:t>
      </w:r>
    </w:p>
    <w:p w14:paraId="372453B5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5. 评审小组、监督人员签字确认；</w:t>
      </w:r>
    </w:p>
    <w:p w14:paraId="6A3CD523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6. 结果公示。</w:t>
      </w:r>
    </w:p>
    <w:p w14:paraId="0DDC187B">
      <w:pPr>
        <w:pStyle w:val="2"/>
        <w:keepNext w:val="0"/>
        <w:keepLines w:val="0"/>
        <w:widowControl/>
        <w:suppressLineNumbers w:val="0"/>
      </w:pPr>
      <w:bookmarkStart w:id="12" w:name="heading_13"/>
      <w:r>
        <w:t>二、初步评审（资格性审查）</w:t>
      </w:r>
    </w:p>
    <w:p w14:paraId="3FC6FEC0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本项目设置8 项审查大类，合格大类≥6项即可进入综合打分。每一大类需满足其项下全部关键审查要点，才判定为合格；细项瑕疵在备注记录，不单独计项。</w:t>
      </w:r>
    </w:p>
    <w:p w14:paraId="79822780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响应主体资格文件：营业执照、法人身份证明（授权书）、要求的资质证书（如有）齐全有效。</w:t>
      </w:r>
    </w:p>
    <w:p w14:paraId="7D7B626C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2. 纳税及社保证明材料：近 1 年纳税、社保缴纳证明齐全有效。</w:t>
      </w:r>
    </w:p>
    <w:p w14:paraId="16B955A0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3. 无重大违法记录承诺：提供加盖公章的近 3 年无重大违法记录声明。</w:t>
      </w:r>
    </w:p>
    <w:p w14:paraId="41A58EBB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4. 方案、人员及业绩材料：项目建设方案完整；项目团队资料齐全；类似业绩证明材料真实有效。</w:t>
      </w:r>
    </w:p>
    <w:p w14:paraId="46E366AE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5. 报价文件有效性：报价表填写规范，总报价不超过项目预算。</w:t>
      </w:r>
    </w:p>
    <w:p w14:paraId="2D10B792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6. 响应文件签章：文件按要求加盖单位公章。</w:t>
      </w:r>
    </w:p>
    <w:p w14:paraId="65CB4867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7. 文件递交要求：响应文件密封完好，按时递交。</w:t>
      </w:r>
    </w:p>
    <w:p w14:paraId="17D5194F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8. 项目承诺文件：按要求提供运维等相关盖章承诺函。</w:t>
      </w:r>
    </w:p>
    <w:p w14:paraId="0538385B">
      <w:pPr>
        <w:pStyle w:val="2"/>
        <w:numPr>
          <w:ilvl w:val="0"/>
          <w:numId w:val="0"/>
        </w:numPr>
        <w:topLinePunct w:val="0"/>
        <w:ind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三、综合评分表（总分</w:t>
      </w:r>
      <w:bookmarkStart w:id="18" w:name="_GoBack"/>
      <w:bookmarkEnd w:id="18"/>
      <w:r>
        <w:rPr>
          <w:rFonts w:hint="eastAsia"/>
          <w:lang w:val="en-US" w:eastAsia="zh-CN"/>
        </w:rPr>
        <w:t>100分）</w:t>
      </w:r>
      <w:bookmarkEnd w:id="12"/>
    </w:p>
    <w:tbl>
      <w:tblPr>
        <w:tblStyle w:val="5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1"/>
        <w:gridCol w:w="803"/>
        <w:gridCol w:w="837"/>
        <w:gridCol w:w="860"/>
        <w:gridCol w:w="4879"/>
      </w:tblGrid>
      <w:tr w14:paraId="3E6A896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0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2DCAF4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评审维度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8FCF71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总分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9C547D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评审子项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DF2F65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F52FB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评审标准</w:t>
            </w:r>
          </w:p>
        </w:tc>
      </w:tr>
      <w:tr w14:paraId="52AFC12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F62CCF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技术响应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332FDF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35分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AC9924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基础功能适配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11F31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20分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0C2874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：三大场景均匹配不少于 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核心功能；</w:t>
            </w:r>
          </w:p>
          <w:p w14:paraId="614775C1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：三大场景均匹配不少于 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核心功能；</w:t>
            </w:r>
          </w:p>
          <w:p w14:paraId="6AD2471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：三大场景均匹配不少于 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基础功能</w:t>
            </w:r>
          </w:p>
        </w:tc>
      </w:tr>
      <w:tr w14:paraId="147E58B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F6A0F0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5473BD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E40FA8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基础性能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F3D545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15分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6EA1B8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：页面加载≤4 秒、核心操作≤4 步，无卡顿；</w:t>
            </w:r>
          </w:p>
          <w:p w14:paraId="5B1AE72F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：加载≤5 秒、操作≤5 步，偶有卡顿；</w:t>
            </w:r>
          </w:p>
          <w:p w14:paraId="37124AFF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：加载超 5 秒或操作步骤超 5 步，卡顿明显</w:t>
            </w:r>
          </w:p>
        </w:tc>
      </w:tr>
      <w:tr w14:paraId="3596209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298EFC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企业资质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BA571F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20分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1BBE37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基础资质与合规材料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610F5C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20分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333D57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：具备 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及以上信息系统资质，纳税、社保证明齐全；</w:t>
            </w:r>
          </w:p>
          <w:p w14:paraId="2B7BEF96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：具备 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信息系统资质，纳税、社保证明齐全；</w:t>
            </w:r>
          </w:p>
          <w:p w14:paraId="0A0F1D6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：无信息系统资质，纳税、社保证明齐全</w:t>
            </w:r>
          </w:p>
        </w:tc>
      </w:tr>
      <w:tr w14:paraId="2D4EEF9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70640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类似业绩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3E54C1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20分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44AB6F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项目经验匹配度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BCCEC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20分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0B14BD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：近 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 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个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及以上人工智能类政务信息化项目；</w:t>
            </w:r>
          </w:p>
          <w:p w14:paraId="6D3A16D5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：近 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有普通政务信息化项目；</w:t>
            </w:r>
          </w:p>
          <w:p w14:paraId="6FAC84A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：仅具备非政务类信息化项目经验</w:t>
            </w:r>
          </w:p>
        </w:tc>
      </w:tr>
      <w:tr w14:paraId="336C33F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D356F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报价合理性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70710B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15分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1DF930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报价评分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9ED69F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15分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0C6D9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：报价 2.5万（含）-4万元；二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：报价4万 - 5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元（含预算）；</w:t>
            </w:r>
          </w:p>
          <w:p w14:paraId="036C72FF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：报价低于2.5万元且无合理成本说明</w:t>
            </w:r>
          </w:p>
        </w:tc>
      </w:tr>
      <w:tr w14:paraId="6CA8989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AA3E6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服务保障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12E29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10分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7ADF78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运维与需求配合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569B8D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10分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2CDCEA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：1年5×8小时运维，承诺24 小时内解决故障；</w:t>
            </w:r>
          </w:p>
          <w:p w14:paraId="56845B15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5×8小时运维，48 小时内解决故障；</w:t>
            </w:r>
          </w:p>
          <w:p w14:paraId="786F6180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：仅承诺1年运维，无明确故障处置时效</w:t>
            </w:r>
          </w:p>
        </w:tc>
      </w:tr>
    </w:tbl>
    <w:p w14:paraId="72C21058">
      <w:pPr>
        <w:pStyle w:val="2"/>
        <w:numPr>
          <w:ilvl w:val="0"/>
          <w:numId w:val="0"/>
        </w:numPr>
        <w:topLinePunct w:val="0"/>
        <w:ind w:firstLine="640" w:firstLineChars="200"/>
        <w:rPr>
          <w:rFonts w:hint="eastAsia"/>
          <w:lang w:val="en-US" w:eastAsia="zh-CN"/>
        </w:rPr>
      </w:pPr>
      <w:bookmarkStart w:id="13" w:name="heading_14"/>
      <w:r>
        <w:rPr>
          <w:rFonts w:hint="eastAsia"/>
          <w:lang w:val="en-US" w:eastAsia="zh-CN"/>
        </w:rPr>
        <w:t>四、排名规则</w:t>
      </w:r>
      <w:bookmarkEnd w:id="13"/>
    </w:p>
    <w:p w14:paraId="10E36B55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按综合总分从高到低排序；</w:t>
      </w:r>
    </w:p>
    <w:p w14:paraId="648E4AED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 总分相同，报价更低者优先；</w:t>
      </w:r>
    </w:p>
    <w:p w14:paraId="719A4F67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3. 总分、报价均一致，近 3年政务信息化项目多的单位优先。</w:t>
      </w:r>
    </w:p>
    <w:p w14:paraId="27D94327">
      <w:pPr>
        <w:pStyle w:val="8"/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bookmarkStart w:id="14" w:name="heading_15"/>
      <w:r>
        <w:rPr>
          <w:rFonts w:hint="eastAsia"/>
          <w:lang w:val="en-US" w:eastAsia="zh-CN"/>
        </w:rPr>
        <w:t>第七章项目进度安排</w:t>
      </w:r>
      <w:bookmarkEnd w:id="14"/>
    </w:p>
    <w:p w14:paraId="58C43A55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采购公示期：采购公告发布之日起 5个工作日；</w:t>
      </w:r>
    </w:p>
    <w:p w14:paraId="06A06E27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2. 响应文件递交截止：评审会前 2个工作日；</w:t>
      </w:r>
    </w:p>
    <w:p w14:paraId="110D41F9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 现场综合评审：2026年 月 日；</w:t>
      </w:r>
    </w:p>
    <w:p w14:paraId="5682CA59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4. 中选结果公示：评审完成后，局官网公示不少于 3个工作日；</w:t>
      </w:r>
    </w:p>
    <w:p w14:paraId="7FFAF3C1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5. 发放中选通知书、签订合同：公示无异议后 3个工作日内。</w:t>
      </w:r>
    </w:p>
    <w:p w14:paraId="13F9B399">
      <w:pPr>
        <w:pStyle w:val="8"/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bookmarkStart w:id="15" w:name="heading_16"/>
      <w:r>
        <w:rPr>
          <w:rFonts w:hint="eastAsia"/>
          <w:lang w:val="en-US" w:eastAsia="zh-CN"/>
        </w:rPr>
        <w:t>第八章 合同主要条款</w:t>
      </w:r>
      <w:bookmarkEnd w:id="15"/>
    </w:p>
    <w:p w14:paraId="072B2BFF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工期要求：合同签订后 1个月内完成全部开发、验收并上线；</w:t>
      </w:r>
    </w:p>
    <w:p w14:paraId="24275FE0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2. 付款节点（分四阶段支付）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（1）合同签订完成，支付合同总价 10%；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（2）提交完整建设方案并启动开发，支付合同总价 20%；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（3）全部功能开发完成并通过履约验收，支付合同总价 50%；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（4）系统稳定上线运行满 1年，支付剩余 20%；</w:t>
      </w:r>
    </w:p>
    <w:p w14:paraId="3EA5A1FF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3. 质保运维：交付后提供 1年 5×8 小时基础运维服务；</w:t>
      </w:r>
    </w:p>
    <w:p w14:paraId="1DB547F4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4. 验收约束：任一场景核心功能未实现、两次整改仍不合格，采购方有权暂缓、扣减或拒付对应款项，严重违约可解除合同并追回已付款项；</w:t>
      </w:r>
    </w:p>
    <w:p w14:paraId="450FCAB0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5. 知识产权：本项目全部系统、页面、程序、文档成果知识产权归柳州市行政审批局所有；</w:t>
      </w:r>
    </w:p>
    <w:p w14:paraId="4ABE4EDB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6. 需求调整：中标方需配合采购方开展细节优化，单次调整周期不超过 10个工作日。</w:t>
      </w:r>
    </w:p>
    <w:p w14:paraId="36A3E055">
      <w:pPr>
        <w:pStyle w:val="8"/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bookmarkStart w:id="16" w:name="heading_17"/>
      <w:r>
        <w:rPr>
          <w:rFonts w:hint="eastAsia"/>
          <w:lang w:val="en-US" w:eastAsia="zh-CN"/>
        </w:rPr>
        <w:t>第九章 响应文件标准目录</w:t>
      </w:r>
      <w:bookmarkEnd w:id="16"/>
    </w:p>
    <w:p w14:paraId="49A56FAD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文件封面</w:t>
      </w:r>
    </w:p>
    <w:p w14:paraId="44AB009C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2. 响应函</w:t>
      </w:r>
    </w:p>
    <w:p w14:paraId="60C2652C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 法定代表人身份证明</w:t>
      </w:r>
    </w:p>
    <w:p w14:paraId="7E44D13F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4 授权委托书（委托代理时提供）</w:t>
      </w:r>
    </w:p>
    <w:p w14:paraId="387DABFC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5. 资格资质证明文件</w:t>
      </w:r>
    </w:p>
    <w:p w14:paraId="7D2AF982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6. 近 3年无重大违法记录声明</w:t>
      </w:r>
    </w:p>
    <w:p w14:paraId="663AB551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7. 纳税、社保缴纳证明复印件</w:t>
      </w:r>
    </w:p>
    <w:p w14:paraId="3EF59856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8. 企业简介、技术服务优势</w:t>
      </w:r>
    </w:p>
    <w:p w14:paraId="5F38018C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9.项目负责人及实施团队资料</w:t>
      </w:r>
    </w:p>
    <w:p w14:paraId="57E3E5E9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10.项目整体建设方案、实施计划、性能保障方案</w:t>
      </w:r>
    </w:p>
    <w:p w14:paraId="406E92E1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11. 类似项目业绩证明材料</w:t>
      </w:r>
    </w:p>
    <w:p w14:paraId="26B1F2AE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12.项目总价包干报价表</w:t>
      </w:r>
    </w:p>
    <w:p w14:paraId="69D291AD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13. 运维服务、需求调整配合承诺书</w:t>
      </w:r>
    </w:p>
    <w:p w14:paraId="6617B37E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14. 其他补充材料</w:t>
      </w:r>
    </w:p>
    <w:p w14:paraId="72BB5481">
      <w:pPr>
        <w:pStyle w:val="8"/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bookmarkStart w:id="17" w:name="heading_18"/>
      <w:r>
        <w:rPr>
          <w:rFonts w:hint="eastAsia"/>
          <w:lang w:val="en-US" w:eastAsia="zh-CN"/>
        </w:rPr>
        <w:t>第十章 附则</w:t>
      </w:r>
      <w:bookmarkEnd w:id="17"/>
    </w:p>
    <w:p w14:paraId="3BB85EF0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1. 本项目为单位自行采购，参照综合评分流程组织，不属于法定招投标项目；</w:t>
      </w:r>
    </w:p>
    <w:p w14:paraId="22CD38FE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2. 采购单位有权根据工作实际对项目需求进行合理微调；</w:t>
      </w:r>
    </w:p>
    <w:p w14:paraId="1F1245C2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3. 所有响应文件编制、打印、密封等相关费用由响应人自行承担；</w:t>
      </w:r>
    </w:p>
    <w:p w14:paraId="14C9A39F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4. 采购全过程由电子政务科、机关纪委、财务科共同监督，评审资料统一归档留存；</w:t>
      </w:r>
    </w:p>
    <w:p w14:paraId="3EAF2D16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5. 本采购文件未尽事宜，参照政府采购相关管理规定执行。</w:t>
      </w:r>
    </w:p>
    <w:p w14:paraId="3FEEBC36">
      <w:pPr>
        <w:numPr>
          <w:ilvl w:val="0"/>
          <w:numId w:val="0"/>
        </w:numPr>
        <w:spacing w:before="120" w:after="120" w:line="288" w:lineRule="auto"/>
        <w:ind w:left="638" w:leftChars="304" w:firstLine="0" w:firstLineChars="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采购人：柳州市行政审批局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采购科室：电子政务科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联系人：李沃潮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编制日期：2026年 7 月 20 日</w:t>
      </w:r>
    </w:p>
    <w:p w14:paraId="0243C526">
      <w:pPr>
        <w:numPr>
          <w:ilvl w:val="0"/>
          <w:numId w:val="0"/>
        </w:numPr>
        <w:spacing w:before="120" w:after="120" w:line="288" w:lineRule="auto"/>
        <w:ind w:leftChars="0" w:firstLine="616" w:firstLineChars="200"/>
        <w:jc w:val="left"/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D942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2075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C3E12"/>
    <w:rsid w:val="0D491C45"/>
    <w:rsid w:val="1F5935E0"/>
    <w:rsid w:val="2AD2296E"/>
    <w:rsid w:val="3C7D1BC1"/>
    <w:rsid w:val="538358EE"/>
    <w:rsid w:val="7A665B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章标题"/>
    <w:next w:val="1"/>
    <w:qFormat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bidi="ar-SA"/>
    </w:rPr>
  </w:style>
  <w:style w:type="character" w:customStyle="1" w:styleId="9">
    <w:name w:val="标题 1 Char"/>
    <w:link w:val="2"/>
    <w:qFormat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3394</Words>
  <Characters>3554</Characters>
  <TotalTime>10</TotalTime>
  <ScaleCrop>false</ScaleCrop>
  <LinksUpToDate>false</LinksUpToDate>
  <CharactersWithSpaces>3794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2026-07-27T03:03:00Z</dcterms:created>
  <dc:creator>Apache POI</dc:creator>
  <cp:lastModifiedBy>눈_눈</cp:lastModifiedBy>
  <dcterms:modified xsi:type="dcterms:W3CDTF">2026-09-04T07:21:49Z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{"Label":"1","ContentProducer":"001191110102MACQD9K64010000","ProduceID":"7667038128403418337","ReservedCode1":"","ContentPropagator":"","PropagateID":"","ReservedCode2":""}</vt:lpwstr>
  </property>
  <property fmtid="{D5CDD505-2E9C-101B-9397-08002B2CF9AE}" pid="3" name="KSOTemplateDocerSaveRecord">
    <vt:lpwstr>eyJoZGlkIjoiMTYyNjZmMWZlYmM1ZWU5MWY5Nzg3MzNmM2ZmMmZhZjIiLCJ1c2VySWQiOiIzNzc5MDM1NDYifQ==</vt:lpwstr>
  </property>
  <property fmtid="{D5CDD505-2E9C-101B-9397-08002B2CF9AE}" pid="4" name="KSOProductBuildVer">
    <vt:lpwstr>2052-12.1.0.28505</vt:lpwstr>
  </property>
  <property fmtid="{D5CDD505-2E9C-101B-9397-08002B2CF9AE}" pid="5" name="ICV">
    <vt:lpwstr>CB899FA0ABCB491FABB365FAE056DB27_13</vt:lpwstr>
  </property>
</Properties>
</file>