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华文仿宋" w:eastAsia="仿宋_GB2312"/>
          <w:b/>
          <w:bCs/>
          <w:color w:val="000000"/>
          <w:sz w:val="32"/>
          <w:szCs w:val="32"/>
          <w:lang w:val="en-US" w:eastAsia="zh-CN"/>
        </w:rPr>
      </w:pP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华文仿宋" w:eastAsia="仿宋_GB2312"/>
          <w:b/>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val="en-US" w:eastAsia="zh-CN"/>
        </w:rPr>
      </w:pPr>
      <w:r>
        <w:rPr>
          <w:rFonts w:hint="eastAsia" w:ascii="方正小标宋简体" w:hAnsi="华文仿宋" w:eastAsia="方正小标宋简体"/>
          <w:sz w:val="44"/>
          <w:szCs w:val="44"/>
          <w:lang w:val="en-US" w:eastAsia="zh-CN"/>
        </w:rPr>
        <w:t>128002柳州市行政审批服务中心2022年</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6"/>
          <w:rFonts w:hint="eastAsia" w:ascii="方正小标宋简体" w:hAnsi="华文仿宋" w:eastAsia="方正小标宋简体"/>
          <w:bCs w:val="0"/>
          <w:sz w:val="44"/>
          <w:szCs w:val="44"/>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柳州市行政审批服务中心</w:t>
      </w:r>
      <w:r>
        <w:rPr>
          <w:rFonts w:hint="eastAsia" w:ascii="仿宋_GB2312" w:hAnsi="华文仿宋" w:eastAsia="仿宋_GB2312"/>
          <w:b/>
          <w:bCs/>
          <w:color w:val="000000"/>
          <w:sz w:val="32"/>
          <w:szCs w:val="32"/>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柳州市行政审批服务中心</w:t>
      </w:r>
      <w:r>
        <w:rPr>
          <w:rFonts w:hint="eastAsia" w:ascii="仿宋_GB2312" w:hAnsi="华文仿宋" w:eastAsia="仿宋_GB2312"/>
          <w:b/>
          <w:bCs/>
          <w:color w:val="000000"/>
          <w:sz w:val="32"/>
          <w:szCs w:val="32"/>
          <w:lang w:eastAsia="zh-CN"/>
        </w:rPr>
        <w:t>2022</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_GB2312" w:hAnsi="华文仿宋" w:eastAsia="仿宋_GB2312"/>
          <w:b/>
          <w:bCs/>
          <w:color w:val="000000"/>
          <w:sz w:val="32"/>
          <w:szCs w:val="32"/>
          <w:lang w:val="en-US" w:eastAsia="zh-CN"/>
        </w:rPr>
        <w:t>柳州市行政审批服务中心2022年</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yellow"/>
        </w:rPr>
      </w:pPr>
      <w:r>
        <w:rPr>
          <w:rStyle w:val="6"/>
          <w:rFonts w:hint="eastAsia" w:ascii="仿宋_GB2312" w:hAnsi="华文仿宋" w:eastAsia="仿宋_GB2312"/>
          <w:color w:val="000000"/>
          <w:sz w:val="32"/>
          <w:szCs w:val="32"/>
          <w:highlight w:val="none"/>
        </w:rPr>
        <w:t>第一部分：</w:t>
      </w:r>
      <w:r>
        <w:rPr>
          <w:rStyle w:val="6"/>
          <w:rFonts w:hint="eastAsia" w:ascii="仿宋_GB2312" w:hAnsi="华文仿宋" w:eastAsia="仿宋_GB2312"/>
          <w:color w:val="000000"/>
          <w:sz w:val="32"/>
          <w:szCs w:val="32"/>
          <w:highlight w:val="none"/>
          <w:lang w:val="en-US" w:eastAsia="zh-CN"/>
        </w:rPr>
        <w:t>柳州市行政审批服务中心</w:t>
      </w:r>
      <w:r>
        <w:rPr>
          <w:rStyle w:val="6"/>
          <w:rFonts w:hint="eastAsia" w:ascii="仿宋_GB2312" w:hAnsi="华文仿宋" w:eastAsia="仿宋_GB2312"/>
          <w:color w:val="000000"/>
          <w:sz w:val="32"/>
          <w:szCs w:val="32"/>
          <w:highlight w:val="none"/>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一）贯彻执行柳州市行政审批、政务服务相关规章制度和管理办法，为到市政务服务大厅办事群众提供规范、优质、高效的窗口服务，并提供相关业务咨询。优化政务服务，提供规范、优质、高效的窗口服务，并提供相关业务咨询；</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（二）协助市行政审批局的行政审批、公共服务事项的受理、审核及结果送达工作；按相关法律法规、制度规范，完成行政审批、公共服务事项的受理、审核及结果送达工作；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（三）协助市行政审批局实施行政审批、公共服务事项涉及从事的踏勘工作；规范行政审批、公共服务事项涉及的踏勘工作流程。</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sz w:val="32"/>
          <w:szCs w:val="32"/>
          <w:highlight w:val="none"/>
        </w:rPr>
        <w:t>柳州市行政审批服务中心为柳州市行政审批局管理的</w:t>
      </w:r>
      <w:r>
        <w:rPr>
          <w:rFonts w:hint="eastAsia" w:ascii="仿宋_GB2312" w:hAnsi="华文仿宋" w:eastAsia="仿宋_GB2312"/>
          <w:sz w:val="32"/>
          <w:szCs w:val="32"/>
          <w:highlight w:val="none"/>
          <w:lang w:val="en-US" w:eastAsia="zh-CN"/>
        </w:rPr>
        <w:t>正科级公益一类全额拨款事业单位。</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r>
        <w:rPr>
          <w:rFonts w:hint="eastAsia" w:ascii="仿宋_GB2312" w:hAnsi="华文仿宋" w:eastAsia="仿宋_GB2312"/>
          <w:b/>
          <w:bCs/>
          <w:color w:val="000000"/>
          <w:sz w:val="32"/>
          <w:szCs w:val="32"/>
          <w:highlight w:val="none"/>
          <w:lang w:val="en-US" w:eastAsia="zh-CN"/>
        </w:rPr>
        <w:t>柳州市行政审批服务中心</w:t>
      </w:r>
      <w:r>
        <w:rPr>
          <w:rFonts w:hint="eastAsia" w:ascii="仿宋_GB2312" w:hAnsi="华文仿宋" w:eastAsia="仿宋_GB2312"/>
          <w:b/>
          <w:bCs/>
          <w:color w:val="000000"/>
          <w:sz w:val="32"/>
          <w:szCs w:val="32"/>
          <w:highlight w:val="none"/>
          <w:lang w:eastAsia="zh-CN"/>
        </w:rPr>
        <w:t>2022</w:t>
      </w:r>
      <w:r>
        <w:rPr>
          <w:rFonts w:hint="eastAsia" w:ascii="仿宋_GB2312" w:hAnsi="华文仿宋" w:eastAsia="仿宋_GB2312"/>
          <w:b/>
          <w:bCs/>
          <w:color w:val="000000"/>
          <w:sz w:val="32"/>
          <w:szCs w:val="32"/>
          <w:highlight w:val="none"/>
        </w:rPr>
        <w:t>年预算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_GB2312" w:hAnsi="华文仿宋" w:eastAsia="仿宋_GB2312"/>
          <w:sz w:val="32"/>
          <w:szCs w:val="32"/>
          <w:highlight w:val="cyan"/>
        </w:rPr>
      </w:pPr>
      <w:r>
        <w:rPr>
          <w:rFonts w:hint="eastAsia" w:ascii="仿宋_GB2312" w:hAnsi="华文仿宋" w:eastAsia="仿宋_GB2312"/>
          <w:b/>
          <w:bCs/>
          <w:sz w:val="32"/>
          <w:szCs w:val="32"/>
          <w:highlight w:val="none"/>
        </w:rPr>
        <w:t>上述报表详见附件。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center"/>
        <w:textAlignment w:val="auto"/>
        <w:outlineLvl w:val="9"/>
        <w:rPr>
          <w:rFonts w:hint="eastAsia" w:ascii="仿宋_GB2312" w:hAnsi="华文仿宋" w:eastAsia="仿宋_GB2312"/>
          <w:sz w:val="32"/>
          <w:szCs w:val="32"/>
          <w:highlight w:val="cya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w:t>
      </w:r>
      <w:r>
        <w:rPr>
          <w:rStyle w:val="6"/>
          <w:rFonts w:hint="eastAsia" w:ascii="仿宋_GB2312" w:hAnsi="华文仿宋" w:eastAsia="仿宋_GB2312"/>
          <w:color w:val="000000"/>
          <w:sz w:val="32"/>
          <w:szCs w:val="32"/>
          <w:highlight w:val="none"/>
          <w:lang w:val="en-US" w:eastAsia="zh-CN"/>
        </w:rPr>
        <w:t>柳州市行政审批服务中心</w:t>
      </w:r>
      <w:r>
        <w:rPr>
          <w:rFonts w:hint="eastAsia" w:ascii="仿宋_GB2312" w:hAnsi="华文仿宋" w:eastAsia="仿宋_GB2312" w:cs="Times New Roman"/>
          <w:b/>
          <w:bCs/>
          <w:color w:val="000000"/>
          <w:kern w:val="2"/>
          <w:sz w:val="32"/>
          <w:szCs w:val="32"/>
          <w:highlight w:val="none"/>
          <w:lang w:val="en-US" w:eastAsia="zh-CN" w:bidi="ar-SA"/>
        </w:rPr>
        <w:t>2022年预算情况说明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一、单位收支预算情况说明</w:t>
      </w:r>
    </w:p>
    <w:p>
      <w:pPr>
        <w:tabs>
          <w:tab w:val="center" w:pos="4475"/>
        </w:tabs>
        <w:spacing w:line="600" w:lineRule="exact"/>
        <w:ind w:firstLine="0"/>
        <w:rPr>
          <w:rFonts w:hint="eastAsia" w:ascii="仿宋_GB2312" w:hAnsi="华文仿宋" w:eastAsia="仿宋_GB2312" w:cs="宋体"/>
          <w:kern w:val="0"/>
          <w:sz w:val="32"/>
          <w:szCs w:val="32"/>
          <w:highlight w:val="cyan"/>
        </w:rPr>
      </w:pPr>
      <w:r>
        <w:rPr>
          <w:rFonts w:hint="eastAsia" w:ascii="仿宋_GB2312" w:hAnsi="华文仿宋" w:eastAsia="仿宋_GB2312" w:cs="Times New Roman"/>
          <w:b w:val="0"/>
          <w:bCs w:val="0"/>
          <w:color w:val="auto"/>
          <w:kern w:val="2"/>
          <w:sz w:val="32"/>
          <w:szCs w:val="32"/>
          <w:lang w:val="en-US" w:eastAsia="zh-CN" w:bidi="ar-SA"/>
        </w:rPr>
        <w:t>2022年单位收支总预算1659.55万元，同比增加3.88万元，同比增长0.23%，收入包括：一般公共财政预算拨款;支出包括一般公共服务支出、社会保障和就业支出、卫生健康支出、住房保障支出。</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二、单位收入预算情况说明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trike w:val="0"/>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收入总预算</w:t>
      </w:r>
      <w:r>
        <w:rPr>
          <w:rFonts w:hint="eastAsia" w:ascii="仿宋_GB2312" w:hAnsi="华文仿宋" w:eastAsia="仿宋_GB2312"/>
          <w:color w:val="000000"/>
          <w:sz w:val="32"/>
          <w:szCs w:val="32"/>
          <w:lang w:val="en-US" w:eastAsia="zh-CN"/>
        </w:rPr>
        <w:t>1659.55</w:t>
      </w:r>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3.88</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0.23</w:t>
      </w:r>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color w:val="000000"/>
          <w:sz w:val="32"/>
          <w:szCs w:val="32"/>
          <w:lang w:val="en-US" w:eastAsia="zh-CN"/>
        </w:rPr>
        <w:t>1659.55</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r>
        <w:rPr>
          <w:rFonts w:hint="eastAsia" w:ascii="仿宋_GB2312" w:hAnsi="华文仿宋" w:eastAsia="仿宋_GB2312"/>
          <w:color w:val="auto"/>
          <w:sz w:val="32"/>
          <w:szCs w:val="32"/>
          <w:lang w:val="en-US" w:eastAsia="zh-CN"/>
        </w:rPr>
        <w:t>100%,</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3.88</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0.23</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2022年收入预算总体增加主要是核定经费增加，增加的主要原因：</w:t>
      </w:r>
      <w:r>
        <w:rPr>
          <w:rFonts w:hint="eastAsia" w:ascii="仿宋_GB2312" w:hAnsi="仿宋_GB2312" w:eastAsia="仿宋_GB2312" w:cs="仿宋_GB2312"/>
          <w:color w:val="auto"/>
          <w:sz w:val="32"/>
          <w:u w:val="none"/>
          <w:lang w:val="en-US" w:eastAsia="zh-CN"/>
        </w:rPr>
        <w:t>按2022年预算编制标准，对个人和家庭的补助中增加了按在职人员工资总额的5%核定的、未列入部门预算但根据政策或文件依据需要解决的基本支出，包括人员经费支出定额中所含的项目经费缺口、控制数内聘用人员经费缺口、伙食补助缺口、年度考核优秀奖励等</w:t>
      </w:r>
      <w:r>
        <w:rPr>
          <w:rFonts w:hint="eastAsia" w:ascii="仿宋_GB2312" w:hAnsi="华文仿宋" w:eastAsia="仿宋_GB2312"/>
          <w:sz w:val="32"/>
          <w:szCs w:val="3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r>
        <w:rPr>
          <w:rFonts w:hint="eastAsia" w:ascii="仿宋_GB2312" w:hAnsi="华文仿宋" w:eastAsia="仿宋_GB2312"/>
          <w:color w:val="000000"/>
          <w:sz w:val="32"/>
          <w:szCs w:val="32"/>
          <w:lang w:val="en-US" w:eastAsia="zh-CN"/>
        </w:rPr>
        <w:t>1659.55</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1650.55万元，占支出总预算的99.46%,</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428.13</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35.02</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9万元，占支出总预算的0.54%,</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424.25</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97.92</w:t>
      </w:r>
      <w:r>
        <w:rPr>
          <w:rFonts w:hint="eastAsia" w:ascii="仿宋_GB2312" w:hAnsi="华文仿宋" w:eastAsia="仿宋_GB2312"/>
          <w:sz w:val="32"/>
          <w:szCs w:val="32"/>
        </w:rPr>
        <w:t>%。</w:t>
      </w:r>
    </w:p>
    <w:p>
      <w:pPr>
        <w:pStyle w:val="3"/>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按支出功能分类科目划分，共分为4类，其中：</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t>1.一般公共服务支出1343.2万元；占支出总预算80.94%，同比增加27.2万元，同比增长2.07%。增加的主要原因：</w:t>
      </w:r>
      <w:r>
        <w:rPr>
          <w:rFonts w:hint="eastAsia" w:ascii="仿宋_GB2312" w:hAnsi="仿宋_GB2312" w:eastAsia="仿宋_GB2312" w:cs="仿宋_GB2312"/>
          <w:color w:val="000000" w:themeColor="text1"/>
          <w:sz w:val="32"/>
          <w:u w:val="none"/>
          <w:lang w:val="en-US" w:eastAsia="zh-CN"/>
          <w14:textFill>
            <w14:solidFill>
              <w14:schemeClr w14:val="tx1"/>
            </w14:solidFill>
          </w14:textFill>
        </w:rPr>
        <w:t>按2022年预算编制标准，对个人和家庭的补助中增加了按在职人员工资总额的5%核定的、未列入部门预算但根据政策或文件依据需要解决的基本支出，包括人员经费支出定额中所含的项目经费缺口、控制数内聘用人员经费缺口、伙食补助缺口、年度考核优秀奖励等</w:t>
      </w:r>
      <w:r>
        <w:rPr>
          <w:rFonts w:hint="eastAsia" w:ascii="仿宋_GB2312" w:hAnsi="华文仿宋" w:eastAsia="仿宋_GB2312"/>
          <w:color w:val="000000" w:themeColor="text1"/>
          <w:sz w:val="32"/>
          <w:szCs w:val="32"/>
          <w:lang w:val="en-US" w:eastAsia="zh-CN"/>
          <w14:textFill>
            <w14:solidFill>
              <w14:schemeClr w14:val="tx1"/>
            </w14:solidFill>
          </w14:textFill>
        </w:rPr>
        <w:t>。</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t>2.社会保障和就业支出175.07万元，占支出总预算10.55%，同比减少11.47万元，同比下降6.15%。减少的主要原因：在职在编人员减少，核定的社保费用减少。</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t>3.卫生健康支出55.65万元，占支出总预算3.35%，同比减少5.95万元，同比下降9.66%。减少的主要原因：在职在编人员减少，核定的医保费用减少。</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32"/>
          <w:szCs w:val="32"/>
          <w:lang w:val="en-US" w:eastAsia="zh-CN" w:bidi="ar-SA"/>
          <w14:textFill>
            <w14:solidFill>
              <w14:schemeClr w14:val="tx1"/>
            </w14:solidFill>
          </w14:textFill>
        </w:rPr>
        <w:t>4.住房保障支出85.62万元，占支出总预算5.16%，同比减少5.91万元，同比下降6.46%。减少的主要原因：在职在编人员减少，核定的公积金费用减少。</w:t>
      </w:r>
    </w:p>
    <w:p>
      <w:pPr>
        <w:pStyle w:val="3"/>
        <w:numPr>
          <w:ilvl w:val="0"/>
          <w:numId w:val="1"/>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s="Times New Roman"/>
          <w:kern w:val="2"/>
          <w:sz w:val="32"/>
          <w:szCs w:val="32"/>
          <w:lang w:val="en-US" w:eastAsia="zh-CN" w:bidi="ar-SA"/>
        </w:rPr>
        <w:t>1.基本支出预算1650.55万元，占一般公共预算拨款支出预算99.46%，</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428.13</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35.02</w:t>
      </w:r>
      <w:r>
        <w:rPr>
          <w:rFonts w:hint="eastAsia" w:ascii="仿宋_GB2312" w:hAnsi="华文仿宋" w:eastAsia="仿宋_GB2312"/>
          <w:sz w:val="32"/>
          <w:szCs w:val="32"/>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9万元，占支出总预算的0.54%,</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424.25</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97.92</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sz w:val="32"/>
          <w:szCs w:val="32"/>
          <w:highlight w:val="cyan"/>
          <w:lang w:val="en-US" w:eastAsia="zh-CN"/>
        </w:rPr>
      </w:pPr>
      <w:r>
        <w:rPr>
          <w:rFonts w:hint="eastAsia" w:ascii="仿宋_GB2312" w:hAnsi="华文仿宋" w:eastAsia="仿宋_GB2312"/>
          <w:sz w:val="32"/>
          <w:szCs w:val="32"/>
          <w:lang w:val="en-US" w:eastAsia="zh-CN"/>
        </w:rPr>
        <w:t>2022年支出预算总体增加主要是核定经费增加，增加的主要原因：</w:t>
      </w:r>
      <w:r>
        <w:rPr>
          <w:rFonts w:hint="eastAsia" w:ascii="仿宋_GB2312" w:hAnsi="仿宋_GB2312" w:eastAsia="仿宋_GB2312" w:cs="仿宋_GB2312"/>
          <w:color w:val="auto"/>
          <w:sz w:val="32"/>
          <w:u w:val="none"/>
          <w:lang w:val="en-US" w:eastAsia="zh-CN"/>
        </w:rPr>
        <w:t>按2022年预算编制标准，</w:t>
      </w:r>
      <w:r>
        <w:rPr>
          <w:rFonts w:hint="eastAsia" w:ascii="仿宋_GB2312" w:hAnsi="华文仿宋" w:eastAsia="仿宋_GB2312" w:cs="Times New Roman"/>
          <w:kern w:val="2"/>
          <w:sz w:val="32"/>
          <w:szCs w:val="32"/>
          <w:lang w:val="en-US" w:eastAsia="zh-CN" w:bidi="ar-SA"/>
        </w:rPr>
        <w:t>一般公共服务支出中</w:t>
      </w:r>
      <w:r>
        <w:rPr>
          <w:rFonts w:hint="eastAsia" w:ascii="仿宋_GB2312" w:hAnsi="仿宋_GB2312" w:eastAsia="仿宋_GB2312" w:cs="仿宋_GB2312"/>
          <w:color w:val="auto"/>
          <w:sz w:val="32"/>
          <w:u w:val="none"/>
          <w:lang w:val="en-US" w:eastAsia="zh-CN"/>
        </w:rPr>
        <w:t>对个人和家庭的补助增加了按在职人员工资总额的5%核定的、未列入部门预算但根据政策或文件依据需要解决的基本支出，包括人员经费支出定额中所含的项目经费缺口、控制数内聘用人员经费缺口、伙食补助缺口、年度考核优秀奖励等</w:t>
      </w:r>
      <w:r>
        <w:rPr>
          <w:rFonts w:hint="eastAsia" w:ascii="仿宋_GB2312" w:hAnsi="华文仿宋" w:eastAsia="仿宋_GB2312"/>
          <w:sz w:val="32"/>
          <w:szCs w:val="3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2022年单位财政拨款收支总预算</w:t>
      </w:r>
      <w:r>
        <w:rPr>
          <w:rFonts w:hint="eastAsia" w:ascii="仿宋_GB2312" w:hAnsi="华文仿宋" w:eastAsia="仿宋_GB2312"/>
          <w:color w:val="000000"/>
          <w:sz w:val="32"/>
          <w:szCs w:val="32"/>
          <w:lang w:val="en-US" w:eastAsia="zh-CN"/>
        </w:rPr>
        <w:t>1659.55</w:t>
      </w:r>
      <w:r>
        <w:rPr>
          <w:rFonts w:hint="eastAsia" w:ascii="仿宋_GB2312" w:hAnsi="华文仿宋" w:eastAsia="仿宋_GB2312" w:cs="Times New Roman"/>
          <w:b w:val="0"/>
          <w:bCs w:val="0"/>
          <w:color w:val="auto"/>
          <w:kern w:val="2"/>
          <w:sz w:val="32"/>
          <w:szCs w:val="32"/>
          <w:lang w:val="en-US" w:eastAsia="zh-CN" w:bidi="ar-SA"/>
        </w:rPr>
        <w:t>万元， 收入包括：一般公共财政预算拨款</w:t>
      </w:r>
      <w:r>
        <w:rPr>
          <w:rFonts w:hint="eastAsia" w:ascii="仿宋_GB2312" w:hAnsi="华文仿宋" w:eastAsia="仿宋_GB2312"/>
          <w:color w:val="000000"/>
          <w:sz w:val="32"/>
          <w:szCs w:val="32"/>
          <w:lang w:val="en-US" w:eastAsia="zh-CN"/>
        </w:rPr>
        <w:t>1659.55</w:t>
      </w:r>
      <w:r>
        <w:rPr>
          <w:rFonts w:hint="eastAsia" w:ascii="仿宋_GB2312" w:hAnsi="华文仿宋" w:eastAsia="仿宋_GB2312" w:cs="Times New Roman"/>
          <w:b w:val="0"/>
          <w:bCs w:val="0"/>
          <w:color w:val="auto"/>
          <w:kern w:val="2"/>
          <w:sz w:val="32"/>
          <w:szCs w:val="32"/>
          <w:lang w:val="en-US" w:eastAsia="zh-CN" w:bidi="ar-SA"/>
        </w:rPr>
        <w:t>万元;支出包括：</w:t>
      </w:r>
      <w:r>
        <w:rPr>
          <w:rFonts w:hint="eastAsia" w:ascii="仿宋_GB2312" w:hAnsi="华文仿宋" w:eastAsia="仿宋_GB2312" w:cs="Times New Roman"/>
          <w:kern w:val="2"/>
          <w:sz w:val="32"/>
          <w:szCs w:val="32"/>
          <w:lang w:val="en-US" w:eastAsia="zh-CN" w:bidi="ar-SA"/>
        </w:rPr>
        <w:t>一般公共服务支出1343.2万元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kern w:val="2"/>
          <w:sz w:val="32"/>
          <w:szCs w:val="32"/>
          <w:lang w:val="en-US" w:eastAsia="zh-CN" w:bidi="ar-SA"/>
        </w:rPr>
        <w:t>社会保障和就业支出175.07万元，卫生健康支出55.65万元，住房保障支出85.62万元</w:t>
      </w:r>
      <w:r>
        <w:rPr>
          <w:rFonts w:hint="eastAsia" w:ascii="仿宋_GB2312" w:hAnsi="华文仿宋" w:eastAsia="仿宋_GB2312" w:cs="Times New Roman"/>
          <w:b w:val="0"/>
          <w:bCs w:val="0"/>
          <w:color w:val="auto"/>
          <w:kern w:val="2"/>
          <w:sz w:val="32"/>
          <w:szCs w:val="32"/>
          <w:lang w:val="en-US" w:eastAsia="zh-CN" w:bidi="ar-SA"/>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2022年单位一般公共预算拨款支出1659.55万元，其中：基本支出1650.55万元，项目支出9万元，具体支出预算如下：</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（一）政务公开审批9万元，全部为项目支出。主要用于审批服务中心在职人员市内公务交通补助。</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（二）事业运行（政府办公厅（室）及相关机构事务）1334.2万元，全部为基本支出。主要用于在职人员的工资，在编人员的福利支出、日常办公的商品和服务支出。</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（三）事业单位离退休3.84万元，全部为基本支出。主要用于事业编退休人员的退休费及公用经费。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（四）机关事业单位基本养老保险缴纳支出114.16万元，全部为基本支出。主要用于在编人员基本养老保险缴费。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（五）机关事业单位职业年金缴纳支出57.08万元，全部为基本支出。主要用于在编人员职业年金缴费。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（六）事业单位医疗55.65万元，全部为基本支出。主要用于在编人员医疗保险缴费。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（七）住房公积金85.62万元，全部为基本支出。主要用于在编人员住房公积金缴费。</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2022年单位一般公共预算基本支出1650.55万元，其中：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1534.28万元，主要包括：基本工资、津贴补贴、奖金、绩效工资、机关事业单位基本养老保险缴费、职业年金缴费、职工基本医疗保险缴费、公务员医疗补助缴费、其他社会保障缴费、住房公积金、退休费。</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cs="Times New Roman"/>
          <w:b w:val="0"/>
          <w:bCs w:val="0"/>
          <w:color w:val="auto"/>
          <w:kern w:val="2"/>
          <w:sz w:val="32"/>
          <w:szCs w:val="32"/>
          <w:lang w:val="en-US" w:eastAsia="zh-CN" w:bidi="ar-SA"/>
        </w:rPr>
        <w:t>（二）公用经费116.26万元，主要包括：办公费、印刷费、水费、电费、邮电费、物业管理费、差旅费、维修(护)费、会议费、培训费、公务接待费、工会经费、其他交通费用、其他商品和服务支出。</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2.31</w:t>
      </w:r>
      <w:r>
        <w:rPr>
          <w:rFonts w:hint="eastAsia" w:ascii="仿宋_GB2312" w:hAnsi="华文仿宋" w:eastAsia="仿宋_GB2312"/>
          <w:bCs/>
          <w:color w:val="000000"/>
          <w:sz w:val="32"/>
          <w:szCs w:val="32"/>
        </w:rPr>
        <w:t>万元，比</w:t>
      </w:r>
      <w:r>
        <w:rPr>
          <w:rFonts w:hint="eastAsia" w:ascii="仿宋_GB2312" w:hAnsi="华文仿宋" w:eastAsia="仿宋_GB2312"/>
          <w:bCs/>
          <w:color w:val="000000"/>
          <w:sz w:val="32"/>
          <w:szCs w:val="32"/>
          <w:lang w:val="en-US" w:eastAsia="zh-CN"/>
        </w:rPr>
        <w:t xml:space="preserve">2021 </w:t>
      </w:r>
      <w:r>
        <w:rPr>
          <w:rFonts w:hint="eastAsia" w:ascii="仿宋_GB2312" w:hAnsi="华文仿宋" w:eastAsia="仿宋_GB2312"/>
          <w:bCs/>
          <w:color w:val="000000"/>
          <w:sz w:val="32"/>
          <w:szCs w:val="32"/>
        </w:rPr>
        <w:t>年（上一年）预算</w:t>
      </w:r>
      <w:r>
        <w:rPr>
          <w:rFonts w:hint="eastAsia" w:ascii="仿宋_GB2312" w:hAnsi="华文仿宋" w:eastAsia="仿宋_GB2312"/>
          <w:bCs/>
          <w:color w:val="000000"/>
          <w:sz w:val="32"/>
          <w:szCs w:val="32"/>
          <w:lang w:val="en-US" w:eastAsia="zh-CN"/>
        </w:rPr>
        <w:t>2.49</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0.18</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7.23</w:t>
      </w:r>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3"/>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r>
        <w:rPr>
          <w:rFonts w:hint="eastAsia" w:ascii="仿宋_GB2312" w:hAnsi="华文仿宋" w:eastAsia="仿宋_GB2312"/>
          <w:bCs/>
          <w:color w:val="000000"/>
          <w:sz w:val="32"/>
          <w:szCs w:val="32"/>
          <w:lang w:val="en-US" w:eastAsia="zh-CN"/>
        </w:rPr>
        <w:t>。</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2.31</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0.18</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7.23</w:t>
      </w:r>
      <w:r>
        <w:rPr>
          <w:rFonts w:hint="eastAsia" w:ascii="仿宋_GB2312" w:hAnsi="华文仿宋" w:eastAsia="仿宋_GB2312"/>
          <w:bCs/>
          <w:color w:val="000000"/>
          <w:sz w:val="32"/>
          <w:szCs w:val="32"/>
        </w:rPr>
        <w:t>%，减少原因：</w:t>
      </w:r>
      <w:r>
        <w:rPr>
          <w:rFonts w:hint="eastAsia" w:ascii="仿宋_GB2312" w:hAnsi="华文仿宋" w:eastAsia="仿宋_GB2312"/>
          <w:bCs/>
          <w:color w:val="000000"/>
          <w:sz w:val="32"/>
          <w:szCs w:val="32"/>
          <w:lang w:val="en-US" w:eastAsia="zh-CN"/>
        </w:rPr>
        <w:t>与上年相比，实有在编人数减少，核定的公务接待费减少</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lang w:val="en-US" w:eastAsia="zh-CN"/>
        </w:rPr>
        <w:t>公务接待费</w:t>
      </w:r>
      <w:r>
        <w:rPr>
          <w:rFonts w:hint="eastAsia" w:ascii="仿宋_GB2312" w:hAnsi="华文仿宋" w:eastAsia="仿宋_GB2312"/>
          <w:bCs/>
          <w:color w:val="000000"/>
          <w:sz w:val="32"/>
          <w:szCs w:val="32"/>
          <w:lang w:eastAsia="zh-CN"/>
        </w:rPr>
        <w:t>主要用于</w:t>
      </w:r>
      <w:r>
        <w:rPr>
          <w:rFonts w:hint="eastAsia" w:ascii="仿宋_GB2312" w:hAnsi="华文仿宋" w:eastAsia="仿宋_GB2312"/>
          <w:bCs/>
          <w:color w:val="000000"/>
          <w:sz w:val="32"/>
          <w:szCs w:val="32"/>
          <w:lang w:val="en-US" w:eastAsia="zh-CN"/>
        </w:rPr>
        <w:t xml:space="preserve">接待其他各地市单位来访费用。                                           </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r>
        <w:rPr>
          <w:rFonts w:hint="eastAsia" w:ascii="仿宋_GB2312" w:hAnsi="华文仿宋" w:eastAsia="仿宋_GB2312"/>
          <w:bCs/>
          <w:color w:val="000000"/>
          <w:sz w:val="32"/>
          <w:szCs w:val="32"/>
          <w:lang w:val="en-US" w:eastAsia="zh-CN"/>
        </w:rPr>
        <w:t>,其中：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bookmarkStart w:id="0" w:name="_GoBack"/>
      <w:bookmarkEnd w:id="0"/>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keepNext w:val="0"/>
        <w:keepLines w:val="0"/>
        <w:pageBreakBefore w:val="0"/>
        <w:tabs>
          <w:tab w:val="center" w:pos="4475"/>
        </w:tabs>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2022年本单位无政府性基金预算支出安排。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tabs>
          <w:tab w:val="center" w:pos="4475"/>
        </w:tabs>
        <w:spacing w:line="560" w:lineRule="exact"/>
        <w:ind w:firstLine="640" w:firstLineChars="200"/>
        <w:rPr>
          <w:rFonts w:hint="eastAsia" w:ascii="仿宋_GB2312" w:hAnsi="华文仿宋" w:eastAsia="仿宋_GB2312" w:cs="Times New Roman"/>
          <w:kern w:val="2"/>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2022年本单位无国有资本经营预算支出安排。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sz w:val="32"/>
          <w:szCs w:val="32"/>
          <w:highlight w:val="cyan"/>
          <w:lang w:eastAsia="zh-CN"/>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Times New Roman"/>
          <w:kern w:val="2"/>
          <w:sz w:val="32"/>
          <w:szCs w:val="32"/>
          <w:highlight w:val="none"/>
          <w:lang w:val="en-US" w:eastAsia="zh-CN" w:bidi="ar-SA"/>
        </w:rPr>
        <w:t>本单位无政府采购预算。</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before="0" w:beforeAutospacing="0" w:after="0" w:afterAutospacing="0"/>
        <w:ind w:firstLine="640" w:firstLineChars="200"/>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Times New Roman"/>
          <w:kern w:val="2"/>
          <w:sz w:val="32"/>
          <w:szCs w:val="32"/>
          <w:highlight w:val="none"/>
          <w:lang w:val="en-US" w:eastAsia="zh-CN" w:bidi="ar-SA"/>
        </w:rPr>
        <w:t>本单位无政府购买服务预算</w:t>
      </w:r>
      <w:r>
        <w:rPr>
          <w:rFonts w:hint="eastAsia" w:ascii="仿宋_GB2312" w:hAnsi="华文仿宋" w:eastAsia="仿宋_GB2312"/>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olor w:val="auto"/>
          <w:sz w:val="32"/>
          <w:szCs w:val="32"/>
          <w:highlight w:val="cyan"/>
          <w:lang w:eastAsia="zh-CN"/>
        </w:rPr>
      </w:pPr>
      <w:r>
        <w:rPr>
          <w:rFonts w:hint="eastAsia" w:ascii="楷体_GB2312" w:hAnsi="华文仿宋" w:eastAsia="楷体_GB2312"/>
          <w:b/>
          <w:bCs w:val="0"/>
          <w:color w:val="000000"/>
          <w:sz w:val="32"/>
          <w:szCs w:val="32"/>
        </w:rPr>
        <w:t>（一）</w:t>
      </w:r>
      <w:r>
        <w:rPr>
          <w:rFonts w:hint="eastAsia" w:ascii="楷体_GB2312" w:hAnsi="华文仿宋" w:eastAsia="楷体_GB2312"/>
          <w:b/>
          <w:bCs w:val="0"/>
          <w:color w:val="auto"/>
          <w:sz w:val="32"/>
          <w:szCs w:val="32"/>
          <w:lang w:val="en-US" w:eastAsia="zh-CN"/>
        </w:rPr>
        <w:t>事业</w:t>
      </w:r>
      <w:r>
        <w:rPr>
          <w:rFonts w:hint="eastAsia" w:ascii="楷体_GB2312" w:hAnsi="华文仿宋" w:eastAsia="楷体_GB2312"/>
          <w:b/>
          <w:bCs w:val="0"/>
          <w:color w:val="auto"/>
          <w:sz w:val="32"/>
          <w:szCs w:val="32"/>
        </w:rPr>
        <w:t>运行经费安排情况</w:t>
      </w:r>
      <w:r>
        <w:rPr>
          <w:rFonts w:hint="eastAsia" w:ascii="楷体_GB2312" w:hAnsi="华文仿宋" w:eastAsia="楷体_GB2312"/>
          <w:b/>
          <w:bCs w:val="0"/>
          <w:color w:val="auto"/>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themeColor="text1"/>
          <w:kern w:val="0"/>
          <w:sz w:val="32"/>
          <w:szCs w:val="32"/>
          <w:lang w:val="en-US" w:eastAsia="zh-CN" w:bidi="ar-SA"/>
          <w14:textFill>
            <w14:solidFill>
              <w14:schemeClr w14:val="tx1"/>
            </w14:solidFill>
          </w14:textFill>
        </w:rPr>
      </w:pPr>
      <w:r>
        <w:rPr>
          <w:rFonts w:hint="eastAsia" w:ascii="仿宋_GB2312" w:hAnsi="华文仿宋" w:eastAsia="仿宋_GB2312" w:cs="宋体"/>
          <w:bCs/>
          <w:color w:val="000000" w:themeColor="text1"/>
          <w:kern w:val="0"/>
          <w:sz w:val="32"/>
          <w:szCs w:val="32"/>
          <w:lang w:val="en-US" w:eastAsia="zh-CN" w:bidi="ar-SA"/>
          <w14:textFill>
            <w14:solidFill>
              <w14:schemeClr w14:val="tx1"/>
            </w14:solidFill>
          </w14:textFill>
        </w:rPr>
        <w:t>2022年</w:t>
      </w:r>
      <w:r>
        <w:rPr>
          <w:rFonts w:hint="eastAsia" w:ascii="仿宋_GB2312" w:hAnsi="华文仿宋" w:eastAsia="仿宋_GB2312" w:cs="宋体"/>
          <w:bCs/>
          <w:strike w:val="0"/>
          <w:color w:val="000000" w:themeColor="text1"/>
          <w:kern w:val="0"/>
          <w:sz w:val="32"/>
          <w:szCs w:val="32"/>
          <w:lang w:val="en-US" w:eastAsia="zh-CN" w:bidi="ar-SA"/>
          <w14:textFill>
            <w14:solidFill>
              <w14:schemeClr w14:val="tx1"/>
            </w14:solidFill>
          </w14:textFill>
        </w:rPr>
        <w:t>事业</w:t>
      </w:r>
      <w:r>
        <w:rPr>
          <w:rFonts w:hint="eastAsia" w:ascii="仿宋_GB2312" w:hAnsi="华文仿宋" w:eastAsia="仿宋_GB2312" w:cs="宋体"/>
          <w:bCs/>
          <w:color w:val="000000" w:themeColor="text1"/>
          <w:kern w:val="0"/>
          <w:sz w:val="32"/>
          <w:szCs w:val="32"/>
          <w:lang w:val="en-US" w:eastAsia="zh-CN" w:bidi="ar-SA"/>
          <w14:textFill>
            <w14:solidFill>
              <w14:schemeClr w14:val="tx1"/>
            </w14:solidFill>
          </w14:textFill>
        </w:rPr>
        <w:t>运行预算1334.20万元，同比增加451.45万元，同比增长51.14%，主要用于在职在岗的人员经费和在编人员公用经费。事业运行经费增加的原因:2022年编外聘用人员经费的统计口径，从政务公开审批经费转入事业运行经费。</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240" w:lineRule="auto"/>
        <w:ind w:firstLine="640" w:firstLineChars="200"/>
        <w:jc w:val="left"/>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2022年本单位实有在编车辆0辆，</w:t>
      </w:r>
      <w:r>
        <w:rPr>
          <w:rFonts w:hint="eastAsia" w:ascii="仿宋_GB2312" w:hAnsi="华文仿宋" w:eastAsia="仿宋_GB2312" w:cs="Times New Roman"/>
          <w:kern w:val="2"/>
          <w:sz w:val="32"/>
          <w:szCs w:val="32"/>
          <w:highlight w:val="none"/>
          <w:lang w:val="en-US" w:eastAsia="zh-CN" w:bidi="ar-SA"/>
        </w:rPr>
        <w:t>无国有资产占用情况</w:t>
      </w:r>
      <w:r>
        <w:rPr>
          <w:rFonts w:hint="eastAsia" w:ascii="仿宋_GB2312" w:hAnsi="华文仿宋" w:eastAsia="仿宋_GB2312"/>
          <w:sz w:val="32"/>
          <w:szCs w:val="32"/>
          <w:highlight w:val="none"/>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olor w:val="000000" w:themeColor="text1"/>
          <w:sz w:val="32"/>
          <w:szCs w:val="32"/>
          <w:highlight w:val="none"/>
          <w:lang w:eastAsia="zh-CN"/>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lang w:val="en-US" w:eastAsia="zh-CN" w:bidi="ar-SA"/>
          <w14:textFill>
            <w14:solidFill>
              <w14:schemeClr w14:val="tx1"/>
            </w14:solidFill>
          </w14:textFill>
        </w:rPr>
        <w:t>2022年本单位无200万元以上项目预算情况。</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b/>
          <w:bCs/>
          <w:color w:val="000000"/>
          <w:sz w:val="32"/>
          <w:szCs w:val="32"/>
          <w:highlight w:val="none"/>
        </w:rPr>
      </w:pPr>
      <w:r>
        <w:rPr>
          <w:rStyle w:val="6"/>
          <w:rFonts w:hint="eastAsia" w:ascii="仿宋_GB2312" w:hAnsi="华文仿宋" w:eastAsia="仿宋_GB2312"/>
          <w:b/>
          <w:bCs/>
          <w:color w:val="000000"/>
          <w:sz w:val="32"/>
          <w:szCs w:val="32"/>
          <w:highlight w:val="none"/>
          <w:lang w:eastAsia="zh-CN"/>
        </w:rPr>
        <w:t>第</w:t>
      </w:r>
      <w:r>
        <w:rPr>
          <w:rStyle w:val="6"/>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八、事业运行经费</w:t>
      </w:r>
      <w:r>
        <w:rPr>
          <w:rFonts w:hint="eastAsia" w:ascii="仿宋_GB2312" w:hAnsi="华文仿宋" w:eastAsia="仿宋_GB2312" w:cs="宋体"/>
          <w:bCs/>
          <w:color w:val="000000"/>
          <w:kern w:val="0"/>
          <w:sz w:val="32"/>
          <w:szCs w:val="32"/>
          <w:lang w:val="en-US" w:eastAsia="zh-CN" w:bidi="ar-SA"/>
        </w:rP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B3427"/>
    <w:multiLevelType w:val="singleLevel"/>
    <w:tmpl w:val="8D8B3427"/>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A7E18"/>
    <w:rsid w:val="1A4D5C69"/>
    <w:rsid w:val="1B09184B"/>
    <w:rsid w:val="2236596D"/>
    <w:rsid w:val="292E6828"/>
    <w:rsid w:val="3B98057B"/>
    <w:rsid w:val="51A111EE"/>
    <w:rsid w:val="59C36591"/>
    <w:rsid w:val="5A87246F"/>
    <w:rsid w:val="5E2772FC"/>
    <w:rsid w:val="5EDF6B9D"/>
    <w:rsid w:val="60BA7E18"/>
    <w:rsid w:val="6D70723B"/>
    <w:rsid w:val="78D3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3746</Words>
  <Characters>4193</Characters>
  <Lines>0</Lines>
  <Paragraphs>0</Paragraphs>
  <TotalTime>0</TotalTime>
  <ScaleCrop>false</ScaleCrop>
  <LinksUpToDate>false</LinksUpToDate>
  <CharactersWithSpaces>4242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2022-01-25T05:03:00Z</dcterms:created>
  <dc:creator>黄柳淋</dc:creator>
  <cp:lastModifiedBy>Vimya. 曉V</cp:lastModifiedBy>
  <dcterms:modified xsi:type="dcterms:W3CDTF">2022-03-23T01:16:52Z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A6602C01076A421FBCB2C4934A7FD29E</vt:lpwstr>
  </property>
</Properties>
</file>