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15"/>
        <w:jc w:val="center"/>
        <w:rPr>
          <w:color w:val="auto"/>
        </w:rPr>
      </w:pPr>
      <w:bookmarkStart w:id="0" w:name="标准内容"/>
      <w:bookmarkEnd w:id="0"/>
      <w:r>
        <w:rPr>
          <w:rFonts w:hint="eastAsia"/>
          <w:color w:val="auto"/>
          <w:lang w:eastAsia="zh-CN"/>
        </w:rPr>
        <w:t>柳州市</w:t>
      </w:r>
      <w:r>
        <w:rPr>
          <w:rFonts w:hint="eastAsia"/>
          <w:color w:val="auto"/>
        </w:rPr>
        <w:t xml:space="preserve">“全链通办”基础任务清单办理流程标准  </w:t>
      </w:r>
      <w:r>
        <w:rPr>
          <w:rFonts w:hint="eastAsia"/>
          <w:color w:val="auto"/>
        </w:rPr>
        <w:br w:type="textWrapping"/>
      </w:r>
      <w:r>
        <w:rPr>
          <w:rFonts w:hint="eastAsia"/>
          <w:color w:val="auto"/>
        </w:rPr>
        <w:t>第7部分：灵活就业</w:t>
      </w:r>
    </w:p>
    <w:p>
      <w:pPr>
        <w:pStyle w:val="259"/>
        <w:rPr>
          <w:color w:val="auto"/>
        </w:rPr>
      </w:pPr>
      <w:bookmarkStart w:id="1" w:name="_Toc106197353"/>
      <w:bookmarkStart w:id="2" w:name="_Toc107072123"/>
      <w:bookmarkStart w:id="3" w:name="_Toc107048309"/>
      <w:bookmarkStart w:id="4" w:name="_Toc96693427"/>
      <w:bookmarkStart w:id="5" w:name="_Toc7325"/>
      <w:bookmarkStart w:id="6" w:name="_Toc107048360"/>
      <w:bookmarkStart w:id="7" w:name="_Toc106350581"/>
      <w:r>
        <w:rPr>
          <w:rFonts w:hint="eastAsia"/>
          <w:color w:val="auto"/>
        </w:rPr>
        <w:t>范围</w:t>
      </w:r>
      <w:bookmarkEnd w:id="1"/>
      <w:bookmarkEnd w:id="2"/>
      <w:bookmarkEnd w:id="3"/>
      <w:bookmarkEnd w:id="4"/>
      <w:bookmarkEnd w:id="5"/>
      <w:bookmarkEnd w:id="6"/>
      <w:bookmarkEnd w:id="7"/>
    </w:p>
    <w:p>
      <w:pPr>
        <w:pStyle w:val="258"/>
        <w:ind w:firstLine="420"/>
        <w:rPr>
          <w:color w:val="auto"/>
        </w:rPr>
      </w:pPr>
      <w:r>
        <w:rPr>
          <w:rFonts w:hint="eastAsia"/>
          <w:color w:val="auto"/>
        </w:rPr>
        <w:t>本文件规定了灵活就业“全链通办”的工作要求、事项范围、受理条件、申请材料、业务流程、办结时限、结果送达、评价与改进等内容。</w:t>
      </w:r>
    </w:p>
    <w:p>
      <w:pPr>
        <w:pStyle w:val="258"/>
        <w:ind w:firstLine="420"/>
        <w:rPr>
          <w:color w:val="auto"/>
        </w:rPr>
      </w:pPr>
      <w:r>
        <w:rPr>
          <w:rFonts w:hint="eastAsia"/>
          <w:color w:val="auto"/>
        </w:rPr>
        <w:t>本文件适用于广西壮族自治区行政区域内规定的灵活就业人员“全链通办”服务工作。</w:t>
      </w:r>
    </w:p>
    <w:p>
      <w:pPr>
        <w:pStyle w:val="259"/>
        <w:rPr>
          <w:color w:val="auto"/>
        </w:rPr>
      </w:pPr>
      <w:bookmarkStart w:id="8" w:name="_Toc18326"/>
      <w:bookmarkStart w:id="9" w:name="_Toc107048310"/>
      <w:bookmarkStart w:id="10" w:name="_Toc107072124"/>
      <w:bookmarkStart w:id="11" w:name="_Toc96693428"/>
      <w:bookmarkStart w:id="12" w:name="_Toc106197354"/>
      <w:bookmarkStart w:id="13" w:name="_Toc107048361"/>
      <w:bookmarkStart w:id="14" w:name="_Toc106350582"/>
      <w:r>
        <w:rPr>
          <w:rFonts w:hint="eastAsia"/>
          <w:color w:val="auto"/>
        </w:rPr>
        <w:t>规范性引用文件</w:t>
      </w:r>
      <w:bookmarkEnd w:id="8"/>
      <w:bookmarkEnd w:id="9"/>
      <w:bookmarkEnd w:id="10"/>
      <w:bookmarkEnd w:id="11"/>
      <w:bookmarkEnd w:id="12"/>
      <w:bookmarkEnd w:id="13"/>
      <w:bookmarkEnd w:id="14"/>
    </w:p>
    <w:p>
      <w:pPr>
        <w:pStyle w:val="258"/>
        <w:ind w:firstLine="420"/>
        <w:rPr>
          <w:color w:val="auto"/>
        </w:rPr>
      </w:pPr>
      <w:r>
        <w:rPr>
          <w:rFonts w:hint="eastAsia"/>
          <w:color w:val="auto"/>
        </w:rPr>
        <w:t>下列文件中的</w:t>
      </w:r>
      <w:r>
        <w:rPr>
          <w:color w:val="auto"/>
        </w:rPr>
        <w:t>内容通过文中</w:t>
      </w:r>
      <w:r>
        <w:rPr>
          <w:rFonts w:hint="eastAsia"/>
          <w:color w:val="auto"/>
        </w:rPr>
        <w:t>的</w:t>
      </w:r>
      <w:r>
        <w:rPr>
          <w:color w:val="auto"/>
        </w:rPr>
        <w:t>规范性引用而构成本文件必不可少的条款。其中</w:t>
      </w:r>
      <w:r>
        <w:rPr>
          <w:rFonts w:hint="eastAsia"/>
          <w:color w:val="auto"/>
        </w:rPr>
        <w:t>，</w:t>
      </w:r>
      <w:r>
        <w:rPr>
          <w:color w:val="auto"/>
        </w:rPr>
        <w:t>注日期的引用文件，</w:t>
      </w:r>
      <w:r>
        <w:rPr>
          <w:rFonts w:hint="eastAsia"/>
          <w:color w:val="auto"/>
        </w:rPr>
        <w:t>仅</w:t>
      </w:r>
      <w:r>
        <w:rPr>
          <w:color w:val="auto"/>
        </w:rPr>
        <w:t>该日期对应的版本</w:t>
      </w:r>
      <w:r>
        <w:rPr>
          <w:rFonts w:hint="eastAsia"/>
          <w:color w:val="auto"/>
        </w:rPr>
        <w:t>适用</w:t>
      </w:r>
      <w:r>
        <w:rPr>
          <w:color w:val="auto"/>
        </w:rPr>
        <w:t>于本文件；不注日期的引用文件，其最新版本（</w:t>
      </w:r>
      <w:r>
        <w:rPr>
          <w:rFonts w:hint="eastAsia"/>
          <w:color w:val="auto"/>
        </w:rPr>
        <w:t>包括</w:t>
      </w:r>
      <w:r>
        <w:rPr>
          <w:color w:val="auto"/>
        </w:rPr>
        <w:t>所有的修改单）</w:t>
      </w:r>
      <w:r>
        <w:rPr>
          <w:rFonts w:hint="eastAsia"/>
          <w:color w:val="auto"/>
        </w:rPr>
        <w:t>适用</w:t>
      </w:r>
      <w:r>
        <w:rPr>
          <w:color w:val="auto"/>
        </w:rPr>
        <w:t>于本文件</w:t>
      </w:r>
      <w:r>
        <w:rPr>
          <w:rFonts w:hint="eastAsia"/>
          <w:color w:val="auto"/>
        </w:rPr>
        <w:t>。</w:t>
      </w:r>
    </w:p>
    <w:p>
      <w:pPr>
        <w:pStyle w:val="258"/>
        <w:ind w:firstLine="420"/>
        <w:rPr>
          <w:color w:val="auto"/>
        </w:rPr>
      </w:pPr>
      <w:r>
        <w:rPr>
          <w:rFonts w:hint="eastAsia"/>
          <w:color w:val="auto"/>
        </w:rPr>
        <w:t>GB/T 39734-</w:t>
      </w:r>
      <w:r>
        <w:rPr>
          <w:color w:val="auto"/>
        </w:rPr>
        <w:t xml:space="preserve">2020  </w:t>
      </w:r>
      <w:r>
        <w:rPr>
          <w:rFonts w:hint="eastAsia"/>
          <w:color w:val="auto"/>
        </w:rPr>
        <w:t>政务服务“一次一评”“一事一评”工作规范</w:t>
      </w:r>
    </w:p>
    <w:p>
      <w:pPr>
        <w:pStyle w:val="258"/>
        <w:ind w:firstLine="420"/>
        <w:rPr>
          <w:color w:val="auto"/>
        </w:rPr>
      </w:pPr>
      <w:r>
        <w:rPr>
          <w:rFonts w:hint="eastAsia"/>
          <w:color w:val="auto"/>
        </w:rPr>
        <w:t>GB/T</w:t>
      </w:r>
      <w:r>
        <w:rPr>
          <w:color w:val="auto"/>
        </w:rPr>
        <w:t xml:space="preserve"> </w:t>
      </w:r>
      <w:r>
        <w:rPr>
          <w:rFonts w:hint="eastAsia"/>
          <w:color w:val="auto"/>
        </w:rPr>
        <w:t>39735-</w:t>
      </w:r>
      <w:r>
        <w:rPr>
          <w:color w:val="auto"/>
        </w:rPr>
        <w:t xml:space="preserve">2020  </w:t>
      </w:r>
      <w:r>
        <w:rPr>
          <w:rFonts w:hint="eastAsia"/>
          <w:color w:val="auto"/>
        </w:rPr>
        <w:t>政务服务评价工作指南</w:t>
      </w:r>
    </w:p>
    <w:p>
      <w:pPr>
        <w:pStyle w:val="258"/>
        <w:ind w:firstLine="420"/>
        <w:rPr>
          <w:color w:val="auto"/>
        </w:rPr>
      </w:pPr>
      <w:r>
        <w:rPr>
          <w:color w:val="auto"/>
        </w:rPr>
        <w:t>GB</w:t>
      </w:r>
      <w:r>
        <w:rPr>
          <w:rFonts w:hint="eastAsia"/>
          <w:color w:val="auto"/>
        </w:rPr>
        <w:t>/</w:t>
      </w:r>
      <w:r>
        <w:rPr>
          <w:color w:val="auto"/>
        </w:rPr>
        <w:t xml:space="preserve">T </w:t>
      </w:r>
      <w:r>
        <w:rPr>
          <w:rFonts w:hint="eastAsia"/>
          <w:color w:val="auto"/>
        </w:rPr>
        <w:t>3</w:t>
      </w:r>
      <w:r>
        <w:rPr>
          <w:color w:val="auto"/>
        </w:rPr>
        <w:t>2168</w:t>
      </w:r>
      <w:r>
        <w:rPr>
          <w:rFonts w:hint="eastAsia"/>
          <w:color w:val="auto"/>
        </w:rPr>
        <w:t>-</w:t>
      </w:r>
      <w:r>
        <w:rPr>
          <w:color w:val="auto"/>
        </w:rPr>
        <w:t xml:space="preserve">2015  </w:t>
      </w:r>
      <w:r>
        <w:rPr>
          <w:rFonts w:hint="eastAsia"/>
          <w:color w:val="auto"/>
        </w:rPr>
        <w:t>政务服务中心网上服务规范</w:t>
      </w:r>
    </w:p>
    <w:p>
      <w:pPr>
        <w:pStyle w:val="259"/>
        <w:rPr>
          <w:color w:val="auto"/>
        </w:rPr>
      </w:pPr>
      <w:bookmarkStart w:id="15" w:name="_Toc107048311"/>
      <w:bookmarkStart w:id="16" w:name="_Toc107048362"/>
      <w:bookmarkStart w:id="17" w:name="_Toc107072125"/>
      <w:bookmarkStart w:id="18" w:name="_Toc5439"/>
      <w:bookmarkStart w:id="19" w:name="_Toc106350583"/>
      <w:bookmarkStart w:id="20" w:name="_Toc96693429"/>
      <w:bookmarkStart w:id="21" w:name="_Toc106197355"/>
      <w:r>
        <w:rPr>
          <w:rFonts w:hint="eastAsia"/>
          <w:color w:val="auto"/>
        </w:rPr>
        <w:t>术语</w:t>
      </w:r>
      <w:r>
        <w:rPr>
          <w:color w:val="auto"/>
        </w:rPr>
        <w:t>和定义</w:t>
      </w:r>
      <w:bookmarkEnd w:id="15"/>
      <w:bookmarkEnd w:id="16"/>
      <w:bookmarkEnd w:id="17"/>
      <w:bookmarkEnd w:id="18"/>
      <w:bookmarkEnd w:id="19"/>
      <w:bookmarkEnd w:id="20"/>
      <w:bookmarkEnd w:id="21"/>
    </w:p>
    <w:p>
      <w:pPr>
        <w:pStyle w:val="258"/>
        <w:ind w:firstLine="420"/>
        <w:rPr>
          <w:color w:val="auto"/>
        </w:rPr>
      </w:pPr>
      <w:r>
        <w:rPr>
          <w:rFonts w:hint="eastAsia"/>
          <w:color w:val="auto"/>
        </w:rPr>
        <w:t>下列术语和定义适用于本文件。</w:t>
      </w:r>
    </w:p>
    <w:p>
      <w:pPr>
        <w:pStyle w:val="323"/>
        <w:rPr>
          <w:color w:val="auto"/>
        </w:rPr>
      </w:pPr>
      <w:r>
        <w:rPr>
          <w:rFonts w:hint="eastAsia"/>
          <w:color w:val="auto"/>
        </w:rPr>
        <w:t>灵活就业“全链通办”</w:t>
      </w:r>
    </w:p>
    <w:p>
      <w:pPr>
        <w:pStyle w:val="258"/>
        <w:ind w:firstLine="420"/>
        <w:rPr>
          <w:color w:val="auto"/>
        </w:rPr>
      </w:pPr>
      <w:r>
        <w:rPr>
          <w:rFonts w:hint="eastAsia"/>
          <w:color w:val="auto"/>
        </w:rPr>
        <w:t>通过集成灵活就业人员需要办理的关联性强、需求频率高的多个单一事项，将就业登记、档案的接收和转递（流动人员）、灵活就业人员参保登记、基本医疗保险参保和变更登记、灵活就业人员社会保险费申报等事项集成化办理，为在自治区灵活就业人员提供联办服务。</w:t>
      </w:r>
    </w:p>
    <w:p>
      <w:pPr>
        <w:pStyle w:val="323"/>
        <w:rPr>
          <w:color w:val="auto"/>
        </w:rPr>
      </w:pPr>
      <w:r>
        <w:rPr>
          <w:rFonts w:hint="eastAsia"/>
          <w:color w:val="auto"/>
        </w:rPr>
        <w:t>灵活就业人员</w:t>
      </w:r>
    </w:p>
    <w:p>
      <w:pPr>
        <w:pStyle w:val="258"/>
        <w:ind w:firstLine="420"/>
        <w:rPr>
          <w:color w:val="auto"/>
          <w:szCs w:val="21"/>
        </w:rPr>
      </w:pPr>
      <w:r>
        <w:rPr>
          <w:rFonts w:hint="eastAsia"/>
          <w:color w:val="auto"/>
          <w:szCs w:val="21"/>
        </w:rPr>
        <w:t>尚未达到法定退休年龄的无雇工的个体工商户，未在用人单位参加企业职工基本养老保险的非全日制从业人员，依托电子商务、网络约车、网络送餐、快递物流等新业态平台实现就业，且未与新业态平台企业建立劳动关系以及国家和自治区规定的其他就业形态的从业人员。</w:t>
      </w:r>
    </w:p>
    <w:p>
      <w:pPr>
        <w:pStyle w:val="259"/>
        <w:rPr>
          <w:color w:val="auto"/>
        </w:rPr>
      </w:pPr>
      <w:bookmarkStart w:id="22" w:name="_Toc107072126"/>
      <w:bookmarkStart w:id="23" w:name="_Toc107048312"/>
      <w:bookmarkStart w:id="24" w:name="_Toc5559"/>
      <w:bookmarkStart w:id="25" w:name="_Toc106350584"/>
      <w:bookmarkStart w:id="26" w:name="_Toc106197356"/>
      <w:bookmarkStart w:id="27" w:name="_Toc107048363"/>
      <w:r>
        <w:rPr>
          <w:rFonts w:hint="eastAsia"/>
          <w:color w:val="auto"/>
        </w:rPr>
        <w:t>工作要求</w:t>
      </w:r>
      <w:bookmarkEnd w:id="22"/>
      <w:bookmarkEnd w:id="23"/>
      <w:bookmarkEnd w:id="24"/>
      <w:bookmarkEnd w:id="25"/>
      <w:bookmarkEnd w:id="26"/>
      <w:bookmarkEnd w:id="27"/>
    </w:p>
    <w:p>
      <w:pPr>
        <w:pStyle w:val="260"/>
        <w:rPr>
          <w:color w:val="auto"/>
        </w:rPr>
      </w:pPr>
      <w:bookmarkStart w:id="28" w:name="_Toc106197357"/>
      <w:bookmarkStart w:id="29" w:name="_Toc107048313"/>
      <w:bookmarkStart w:id="30" w:name="_Toc106350585"/>
      <w:bookmarkStart w:id="31" w:name="_Toc6239"/>
      <w:bookmarkStart w:id="32" w:name="_Toc107072127"/>
      <w:bookmarkStart w:id="33" w:name="_Toc107048364"/>
      <w:r>
        <w:rPr>
          <w:rFonts w:hint="eastAsia"/>
          <w:color w:val="auto"/>
        </w:rPr>
        <w:t>机制建设</w:t>
      </w:r>
      <w:bookmarkEnd w:id="28"/>
      <w:bookmarkEnd w:id="29"/>
      <w:bookmarkEnd w:id="30"/>
      <w:bookmarkEnd w:id="31"/>
      <w:bookmarkEnd w:id="32"/>
      <w:bookmarkEnd w:id="33"/>
    </w:p>
    <w:p>
      <w:pPr>
        <w:pStyle w:val="261"/>
        <w:spacing w:before="156" w:after="156"/>
        <w:rPr>
          <w:color w:val="auto"/>
        </w:rPr>
      </w:pPr>
      <w:r>
        <w:rPr>
          <w:rFonts w:hint="eastAsia"/>
          <w:color w:val="auto"/>
        </w:rPr>
        <w:t>建立责任分工机制</w:t>
      </w:r>
    </w:p>
    <w:p>
      <w:pPr>
        <w:pStyle w:val="258"/>
        <w:ind w:firstLine="420"/>
        <w:rPr>
          <w:color w:val="auto"/>
        </w:rPr>
      </w:pPr>
      <w:r>
        <w:rPr>
          <w:rFonts w:hint="eastAsia"/>
          <w:color w:val="auto"/>
        </w:rPr>
        <w:t>明确牵头单位、责任单位职责分工：</w:t>
      </w:r>
    </w:p>
    <w:p>
      <w:pPr>
        <w:pStyle w:val="305"/>
        <w:rPr>
          <w:color w:val="auto"/>
        </w:rPr>
      </w:pPr>
      <w:r>
        <w:rPr>
          <w:rFonts w:hint="eastAsia"/>
          <w:color w:val="auto"/>
        </w:rPr>
        <w:t>牵头单位：人力资源社会保障部门；</w:t>
      </w:r>
    </w:p>
    <w:p>
      <w:pPr>
        <w:pStyle w:val="305"/>
        <w:rPr>
          <w:color w:val="auto"/>
        </w:rPr>
      </w:pPr>
      <w:r>
        <w:rPr>
          <w:rFonts w:hint="eastAsia"/>
          <w:color w:val="auto"/>
        </w:rPr>
        <w:t>责任单位：医保部门、税务部门。</w:t>
      </w:r>
    </w:p>
    <w:p>
      <w:pPr>
        <w:pStyle w:val="261"/>
        <w:spacing w:before="156" w:after="156"/>
        <w:rPr>
          <w:color w:val="auto"/>
        </w:rPr>
      </w:pPr>
      <w:r>
        <w:rPr>
          <w:rFonts w:hint="eastAsia"/>
          <w:color w:val="auto"/>
        </w:rPr>
        <w:t>建立数据交换机制</w:t>
      </w:r>
    </w:p>
    <w:p>
      <w:pPr>
        <w:pStyle w:val="258"/>
        <w:ind w:firstLine="420"/>
        <w:rPr>
          <w:color w:val="auto"/>
        </w:rPr>
      </w:pPr>
      <w:r>
        <w:rPr>
          <w:rFonts w:hint="eastAsia"/>
          <w:color w:val="auto"/>
        </w:rPr>
        <w:t>依托自治区数据共享交换平台和广西数字政务一体化平台，将数据推送至相关部门业务办事系统，数据流转按附录A执行。加强电子证照、电子印章、电子签名、电子档案等基础应用，通过数据共享、核验逐步实现申请材料免提交。</w:t>
      </w:r>
    </w:p>
    <w:p>
      <w:pPr>
        <w:pStyle w:val="261"/>
        <w:spacing w:before="156" w:after="156"/>
        <w:rPr>
          <w:color w:val="auto"/>
        </w:rPr>
      </w:pPr>
      <w:r>
        <w:rPr>
          <w:rFonts w:hint="eastAsia"/>
          <w:color w:val="auto"/>
        </w:rPr>
        <w:t>建立监督反馈机制</w:t>
      </w:r>
    </w:p>
    <w:p>
      <w:pPr>
        <w:pStyle w:val="258"/>
        <w:ind w:firstLine="420"/>
        <w:rPr>
          <w:color w:val="auto"/>
        </w:rPr>
      </w:pPr>
      <w:r>
        <w:rPr>
          <w:rFonts w:hint="eastAsia"/>
          <w:color w:val="auto"/>
        </w:rPr>
        <w:t>牵头单位</w:t>
      </w:r>
      <w:r>
        <w:rPr>
          <w:rFonts w:hint="eastAsia" w:ascii="Times New Roman"/>
          <w:color w:val="auto"/>
        </w:rPr>
        <w:t>会同</w:t>
      </w:r>
      <w:r>
        <w:rPr>
          <w:rFonts w:hint="eastAsia"/>
          <w:color w:val="auto"/>
        </w:rPr>
        <w:t>责任单位依托广西数字政务一体化平台、广西政务A</w:t>
      </w:r>
      <w:r>
        <w:rPr>
          <w:color w:val="auto"/>
        </w:rPr>
        <w:t>PP</w:t>
      </w:r>
      <w:r>
        <w:rPr>
          <w:rFonts w:hint="eastAsia"/>
          <w:color w:val="auto"/>
        </w:rPr>
        <w:t>、政务服务大厅“一窗受理”综合窗口等，根据灵活就业“全链通办”服务涉及事项环节区分，对业务流程不同环节进行跟踪反馈。</w:t>
      </w:r>
    </w:p>
    <w:p>
      <w:pPr>
        <w:pStyle w:val="260"/>
        <w:rPr>
          <w:color w:val="auto"/>
        </w:rPr>
      </w:pPr>
      <w:bookmarkStart w:id="34" w:name="_Toc744"/>
      <w:bookmarkStart w:id="35" w:name="_Toc106350586"/>
      <w:bookmarkStart w:id="36" w:name="_Toc106197358"/>
      <w:bookmarkStart w:id="37" w:name="_Toc107048365"/>
      <w:bookmarkStart w:id="38" w:name="_Toc107048314"/>
      <w:bookmarkStart w:id="39" w:name="_Toc107072128"/>
      <w:r>
        <w:rPr>
          <w:rFonts w:hint="eastAsia"/>
          <w:color w:val="auto"/>
        </w:rPr>
        <w:t>工作职责</w:t>
      </w:r>
      <w:bookmarkEnd w:id="34"/>
      <w:bookmarkEnd w:id="35"/>
      <w:bookmarkEnd w:id="36"/>
      <w:bookmarkEnd w:id="37"/>
      <w:bookmarkEnd w:id="38"/>
      <w:bookmarkEnd w:id="39"/>
    </w:p>
    <w:p>
      <w:pPr>
        <w:pStyle w:val="261"/>
        <w:spacing w:before="156" w:after="156"/>
        <w:rPr>
          <w:color w:val="auto"/>
        </w:rPr>
      </w:pPr>
      <w:r>
        <w:rPr>
          <w:rFonts w:hint="eastAsia"/>
          <w:color w:val="auto"/>
        </w:rPr>
        <w:t>牵头单位</w:t>
      </w:r>
    </w:p>
    <w:p>
      <w:pPr>
        <w:pStyle w:val="258"/>
        <w:ind w:firstLine="420"/>
        <w:rPr>
          <w:color w:val="auto"/>
        </w:rPr>
      </w:pPr>
      <w:r>
        <w:rPr>
          <w:rFonts w:hint="eastAsia"/>
          <w:color w:val="auto"/>
        </w:rPr>
        <w:t>灵活就业“全链通办”牵头单位为人力资源社会保障部门，主要工作职责如下：</w:t>
      </w:r>
    </w:p>
    <w:p>
      <w:pPr>
        <w:pStyle w:val="305"/>
        <w:numPr>
          <w:ilvl w:val="0"/>
          <w:numId w:val="28"/>
        </w:numPr>
        <w:rPr>
          <w:color w:val="auto"/>
        </w:rPr>
      </w:pPr>
      <w:r>
        <w:rPr>
          <w:rFonts w:hint="eastAsia"/>
          <w:color w:val="auto"/>
        </w:rPr>
        <w:t>做好灵活就业“全链通办”</w:t>
      </w:r>
      <w:r>
        <w:rPr>
          <w:color w:val="auto"/>
        </w:rPr>
        <w:t>本部门</w:t>
      </w:r>
      <w:r>
        <w:rPr>
          <w:rFonts w:hint="eastAsia"/>
          <w:color w:val="auto"/>
        </w:rPr>
        <w:t>事项涉及业务系统</w:t>
      </w:r>
      <w:r>
        <w:rPr>
          <w:color w:val="auto"/>
        </w:rPr>
        <w:t>、申请材料</w:t>
      </w:r>
      <w:r>
        <w:rPr>
          <w:rFonts w:hint="eastAsia"/>
          <w:color w:val="auto"/>
        </w:rPr>
        <w:t>与广西数字政务一体化平台、广西政务APP等平台的对接，实现信息流转、数据共享；</w:t>
      </w:r>
    </w:p>
    <w:p>
      <w:pPr>
        <w:pStyle w:val="305"/>
        <w:numPr>
          <w:ilvl w:val="0"/>
          <w:numId w:val="28"/>
        </w:numPr>
        <w:rPr>
          <w:color w:val="auto"/>
        </w:rPr>
      </w:pPr>
      <w:r>
        <w:rPr>
          <w:color w:val="auto"/>
        </w:rPr>
        <w:t>联合</w:t>
      </w:r>
      <w:r>
        <w:rPr>
          <w:rFonts w:hint="eastAsia"/>
          <w:color w:val="auto"/>
        </w:rPr>
        <w:t>责任单位依托政务服务大厅“一窗受理”综合窗口开展灵活就业“全链通办”政策解读和宣传引导；</w:t>
      </w:r>
    </w:p>
    <w:p>
      <w:pPr>
        <w:pStyle w:val="305"/>
        <w:numPr>
          <w:ilvl w:val="0"/>
          <w:numId w:val="28"/>
        </w:numPr>
        <w:rPr>
          <w:color w:val="auto"/>
        </w:rPr>
      </w:pPr>
      <w:r>
        <w:rPr>
          <w:rFonts w:hint="eastAsia"/>
          <w:color w:val="auto"/>
        </w:rPr>
        <w:t>对申请表及申请材料进行审核、受理、录入、推送，办理就业登记、档案的接收和转递（流动人员）、灵活就业人员参保登记</w:t>
      </w:r>
      <w:r>
        <w:rPr>
          <w:color w:val="auto"/>
        </w:rPr>
        <w:t>；</w:t>
      </w:r>
    </w:p>
    <w:p>
      <w:pPr>
        <w:pStyle w:val="305"/>
        <w:numPr>
          <w:ilvl w:val="0"/>
          <w:numId w:val="28"/>
        </w:numPr>
        <w:rPr>
          <w:color w:val="auto"/>
        </w:rPr>
      </w:pPr>
      <w:r>
        <w:rPr>
          <w:color w:val="auto"/>
        </w:rPr>
        <w:t>联合责任单位跟踪、协调、处理</w:t>
      </w:r>
      <w:r>
        <w:rPr>
          <w:rFonts w:hint="eastAsia"/>
          <w:color w:val="auto"/>
        </w:rPr>
        <w:t>灵活就业</w:t>
      </w:r>
      <w:r>
        <w:rPr>
          <w:color w:val="auto"/>
        </w:rPr>
        <w:t>“全链通办”办理过程中出现的问题，确保通办顺畅完成。</w:t>
      </w:r>
    </w:p>
    <w:p>
      <w:pPr>
        <w:pStyle w:val="261"/>
        <w:spacing w:before="156" w:after="156"/>
        <w:rPr>
          <w:color w:val="auto"/>
        </w:rPr>
      </w:pPr>
      <w:r>
        <w:rPr>
          <w:rFonts w:hint="eastAsia"/>
          <w:color w:val="auto"/>
        </w:rPr>
        <w:t>责任单位</w:t>
      </w:r>
    </w:p>
    <w:p>
      <w:pPr>
        <w:pStyle w:val="290"/>
        <w:spacing w:before="156" w:after="156"/>
        <w:rPr>
          <w:color w:val="auto"/>
        </w:rPr>
      </w:pPr>
      <w:r>
        <w:rPr>
          <w:rFonts w:hint="eastAsia"/>
          <w:color w:val="auto"/>
        </w:rPr>
        <w:t>医保部门</w:t>
      </w:r>
    </w:p>
    <w:p>
      <w:pPr>
        <w:pStyle w:val="258"/>
        <w:ind w:firstLine="420"/>
        <w:rPr>
          <w:color w:val="auto"/>
        </w:rPr>
      </w:pPr>
      <w:r>
        <w:rPr>
          <w:rFonts w:hint="eastAsia"/>
          <w:color w:val="auto"/>
        </w:rPr>
        <w:t>主要工作职责如下：</w:t>
      </w:r>
    </w:p>
    <w:p>
      <w:pPr>
        <w:pStyle w:val="258"/>
        <w:ind w:firstLine="420"/>
        <w:rPr>
          <w:color w:val="auto"/>
        </w:rPr>
      </w:pPr>
      <w:r>
        <w:rPr>
          <w:rFonts w:hint="eastAsia"/>
          <w:color w:val="auto"/>
        </w:rPr>
        <w:t>a） 做好灵活就业“全链通办”本部门事项涉及业务系统、申请材料与广西数字政务一体化平台、广西政务APP等平台的对接，实现信息流转、数据共享；</w:t>
      </w:r>
    </w:p>
    <w:p>
      <w:pPr>
        <w:pStyle w:val="258"/>
        <w:ind w:firstLine="420"/>
        <w:rPr>
          <w:color w:val="auto"/>
        </w:rPr>
      </w:pPr>
      <w:r>
        <w:rPr>
          <w:rFonts w:hint="eastAsia"/>
          <w:color w:val="auto"/>
        </w:rPr>
        <w:t>b） 协同牵头单位依托政务服务大厅“一窗受理”综合窗口开展灵活就业“全链通办”政策解读和宣传引导；</w:t>
      </w:r>
    </w:p>
    <w:p>
      <w:pPr>
        <w:pStyle w:val="258"/>
        <w:ind w:firstLine="420"/>
        <w:rPr>
          <w:color w:val="auto"/>
        </w:rPr>
      </w:pPr>
      <w:r>
        <w:rPr>
          <w:rFonts w:hint="eastAsia"/>
          <w:color w:val="auto"/>
        </w:rPr>
        <w:t>c） 负责查收、核实推送的申请材料，办理基本医疗保险参保和变更登记；</w:t>
      </w:r>
    </w:p>
    <w:p>
      <w:pPr>
        <w:pStyle w:val="258"/>
        <w:ind w:firstLine="420"/>
        <w:rPr>
          <w:color w:val="auto"/>
        </w:rPr>
      </w:pPr>
      <w:r>
        <w:rPr>
          <w:rFonts w:hint="eastAsia"/>
          <w:color w:val="auto"/>
        </w:rPr>
        <w:t>d） 协同其他责任单位跟踪、协调、处理灵活就业“全链通办”办理过程中出现的问题，确保通办顺畅完成。</w:t>
      </w:r>
    </w:p>
    <w:p>
      <w:pPr>
        <w:pStyle w:val="290"/>
        <w:spacing w:before="156" w:after="156"/>
        <w:rPr>
          <w:color w:val="auto"/>
        </w:rPr>
      </w:pPr>
      <w:r>
        <w:rPr>
          <w:rFonts w:hint="eastAsia"/>
          <w:color w:val="auto"/>
        </w:rPr>
        <w:t>税务部门</w:t>
      </w:r>
    </w:p>
    <w:p>
      <w:pPr>
        <w:pStyle w:val="258"/>
        <w:ind w:firstLine="420"/>
        <w:rPr>
          <w:color w:val="auto"/>
        </w:rPr>
      </w:pPr>
      <w:r>
        <w:rPr>
          <w:rFonts w:hint="eastAsia"/>
          <w:color w:val="auto"/>
        </w:rPr>
        <w:t>主要工作职责如下：</w:t>
      </w:r>
    </w:p>
    <w:p>
      <w:pPr>
        <w:pStyle w:val="258"/>
        <w:ind w:firstLine="420"/>
        <w:rPr>
          <w:color w:val="auto"/>
        </w:rPr>
      </w:pPr>
      <w:r>
        <w:rPr>
          <w:rFonts w:hint="eastAsia"/>
          <w:color w:val="auto"/>
        </w:rPr>
        <w:t>a） 做好灵活就业“全链通办”本部门事项涉及业务系统、申请材料与广西数字政务一体化平台、广西政务APP等平台的对接，实现信息流转、数据共享；</w:t>
      </w:r>
    </w:p>
    <w:p>
      <w:pPr>
        <w:pStyle w:val="258"/>
        <w:ind w:firstLine="420"/>
        <w:rPr>
          <w:color w:val="auto"/>
        </w:rPr>
      </w:pPr>
      <w:r>
        <w:rPr>
          <w:rFonts w:hint="eastAsia"/>
          <w:color w:val="auto"/>
        </w:rPr>
        <w:t>b） 协同牵头单位依托政务服务大厅“一窗受理”综合窗口开展灵活就业“全链通办”政策解读和宣传引导；</w:t>
      </w:r>
    </w:p>
    <w:p>
      <w:pPr>
        <w:pStyle w:val="258"/>
        <w:ind w:firstLine="420"/>
        <w:rPr>
          <w:color w:val="auto"/>
        </w:rPr>
      </w:pPr>
      <w:r>
        <w:rPr>
          <w:rFonts w:hint="eastAsia"/>
          <w:color w:val="auto"/>
        </w:rPr>
        <w:t>c） 负责查收、核实推送的申请材料，办理灵活就业人员社会保险费申报；</w:t>
      </w:r>
    </w:p>
    <w:p>
      <w:pPr>
        <w:pStyle w:val="258"/>
        <w:ind w:firstLine="420"/>
        <w:rPr>
          <w:color w:val="auto"/>
        </w:rPr>
      </w:pPr>
      <w:r>
        <w:rPr>
          <w:rFonts w:hint="eastAsia"/>
          <w:color w:val="auto"/>
        </w:rPr>
        <w:t>d） 协同其他责任单位跟踪、协调、处理灵活就业“全链通办”办理过程中出现的问题，确保通办顺畅完成。</w:t>
      </w:r>
    </w:p>
    <w:p>
      <w:pPr>
        <w:pStyle w:val="259"/>
        <w:rPr>
          <w:color w:val="auto"/>
        </w:rPr>
      </w:pPr>
      <w:bookmarkStart w:id="40" w:name="_Toc107048366"/>
      <w:bookmarkStart w:id="41" w:name="_Toc107072129"/>
      <w:bookmarkStart w:id="42" w:name="_Toc107048315"/>
      <w:bookmarkStart w:id="43" w:name="_Toc106197359"/>
      <w:bookmarkStart w:id="44" w:name="_Toc106350587"/>
      <w:bookmarkStart w:id="45" w:name="_Toc12221"/>
      <w:r>
        <w:rPr>
          <w:rFonts w:hint="eastAsia"/>
          <w:color w:val="auto"/>
        </w:rPr>
        <w:t>事项范围</w:t>
      </w:r>
      <w:bookmarkEnd w:id="40"/>
      <w:bookmarkEnd w:id="41"/>
      <w:bookmarkEnd w:id="42"/>
      <w:bookmarkEnd w:id="43"/>
      <w:bookmarkEnd w:id="44"/>
      <w:bookmarkEnd w:id="45"/>
    </w:p>
    <w:p>
      <w:pPr>
        <w:pStyle w:val="258"/>
        <w:ind w:firstLine="420"/>
        <w:rPr>
          <w:color w:val="auto"/>
        </w:rPr>
      </w:pPr>
      <w:r>
        <w:rPr>
          <w:rFonts w:hint="eastAsia"/>
          <w:color w:val="auto"/>
        </w:rPr>
        <w:t>灵活就业“全链通办”服务联办事项包含以下事项，并实行动态管理，及时更新调整内容：</w:t>
      </w:r>
    </w:p>
    <w:p>
      <w:pPr>
        <w:pStyle w:val="305"/>
        <w:numPr>
          <w:ilvl w:val="0"/>
          <w:numId w:val="29"/>
        </w:numPr>
        <w:rPr>
          <w:color w:val="auto"/>
        </w:rPr>
      </w:pPr>
      <w:r>
        <w:rPr>
          <w:rFonts w:hint="eastAsia"/>
          <w:color w:val="auto"/>
        </w:rPr>
        <w:t>就业登记；</w:t>
      </w:r>
    </w:p>
    <w:p>
      <w:pPr>
        <w:pStyle w:val="305"/>
        <w:numPr>
          <w:ilvl w:val="0"/>
          <w:numId w:val="29"/>
        </w:numPr>
        <w:rPr>
          <w:color w:val="auto"/>
        </w:rPr>
      </w:pPr>
      <w:r>
        <w:rPr>
          <w:rFonts w:hint="eastAsia"/>
          <w:color w:val="auto"/>
        </w:rPr>
        <w:t>档案的接收和转递（流动人员）；</w:t>
      </w:r>
    </w:p>
    <w:p>
      <w:pPr>
        <w:pStyle w:val="305"/>
        <w:numPr>
          <w:ilvl w:val="0"/>
          <w:numId w:val="29"/>
        </w:numPr>
        <w:rPr>
          <w:color w:val="auto"/>
        </w:rPr>
      </w:pPr>
      <w:r>
        <w:rPr>
          <w:rFonts w:hint="eastAsia"/>
          <w:color w:val="auto"/>
        </w:rPr>
        <w:t>灵活就业人员参保登记；</w:t>
      </w:r>
    </w:p>
    <w:p>
      <w:pPr>
        <w:pStyle w:val="305"/>
        <w:numPr>
          <w:ilvl w:val="0"/>
          <w:numId w:val="29"/>
        </w:numPr>
        <w:rPr>
          <w:color w:val="auto"/>
        </w:rPr>
      </w:pPr>
      <w:r>
        <w:rPr>
          <w:rFonts w:hint="eastAsia"/>
          <w:color w:val="auto"/>
        </w:rPr>
        <w:t>基本医疗保险参保和变更登记；</w:t>
      </w:r>
    </w:p>
    <w:p>
      <w:pPr>
        <w:pStyle w:val="305"/>
        <w:numPr>
          <w:ilvl w:val="0"/>
          <w:numId w:val="29"/>
        </w:numPr>
        <w:rPr>
          <w:color w:val="auto"/>
        </w:rPr>
      </w:pPr>
      <w:r>
        <w:rPr>
          <w:rFonts w:hint="eastAsia"/>
          <w:color w:val="auto"/>
        </w:rPr>
        <w:t>灵活就业人员社会保险费申报。</w:t>
      </w:r>
    </w:p>
    <w:p>
      <w:pPr>
        <w:pStyle w:val="259"/>
        <w:rPr>
          <w:color w:val="auto"/>
        </w:rPr>
      </w:pPr>
      <w:bookmarkStart w:id="46" w:name="_Toc107048367"/>
      <w:bookmarkStart w:id="47" w:name="_Toc106197360"/>
      <w:bookmarkStart w:id="48" w:name="_Toc22561"/>
      <w:bookmarkStart w:id="49" w:name="_Toc106350588"/>
      <w:bookmarkStart w:id="50" w:name="_Toc107072130"/>
      <w:bookmarkStart w:id="51" w:name="_Toc107048316"/>
      <w:r>
        <w:rPr>
          <w:rFonts w:hint="eastAsia"/>
          <w:color w:val="auto"/>
        </w:rPr>
        <w:t>受理条件</w:t>
      </w:r>
      <w:bookmarkEnd w:id="46"/>
      <w:bookmarkEnd w:id="47"/>
      <w:bookmarkEnd w:id="48"/>
      <w:bookmarkEnd w:id="49"/>
      <w:bookmarkEnd w:id="50"/>
      <w:bookmarkEnd w:id="51"/>
    </w:p>
    <w:p>
      <w:pPr>
        <w:pStyle w:val="258"/>
        <w:ind w:firstLine="420"/>
        <w:rPr>
          <w:color w:val="auto"/>
        </w:rPr>
      </w:pPr>
      <w:r>
        <w:rPr>
          <w:rFonts w:hint="eastAsia"/>
          <w:color w:val="auto"/>
        </w:rPr>
        <w:t>申请人应满足以下条件：</w:t>
      </w:r>
    </w:p>
    <w:p>
      <w:pPr>
        <w:pStyle w:val="305"/>
        <w:numPr>
          <w:ilvl w:val="0"/>
          <w:numId w:val="30"/>
        </w:numPr>
        <w:rPr>
          <w:color w:val="auto"/>
        </w:rPr>
      </w:pPr>
      <w:r>
        <w:rPr>
          <w:rFonts w:hint="eastAsia"/>
          <w:color w:val="auto"/>
        </w:rPr>
        <w:t>法定劳动年龄内，处于就业状态的灵活就业人员；</w:t>
      </w:r>
    </w:p>
    <w:p>
      <w:pPr>
        <w:pStyle w:val="305"/>
        <w:numPr>
          <w:ilvl w:val="0"/>
          <w:numId w:val="30"/>
        </w:numPr>
        <w:rPr>
          <w:color w:val="auto"/>
        </w:rPr>
      </w:pPr>
      <w:r>
        <w:rPr>
          <w:rFonts w:hint="eastAsia"/>
          <w:color w:val="auto"/>
        </w:rPr>
        <w:t>灵活就业人员提出人事档案的接收和转递申请；</w:t>
      </w:r>
    </w:p>
    <w:p>
      <w:pPr>
        <w:pStyle w:val="305"/>
        <w:rPr>
          <w:color w:val="auto"/>
        </w:rPr>
      </w:pPr>
      <w:r>
        <w:rPr>
          <w:rFonts w:hint="eastAsia"/>
          <w:color w:val="auto"/>
        </w:rPr>
        <w:t>户籍地或居住地为自治区的灵活就业人员。</w:t>
      </w:r>
    </w:p>
    <w:p>
      <w:pPr>
        <w:pStyle w:val="259"/>
        <w:spacing w:before="312" w:after="312"/>
        <w:rPr>
          <w:color w:val="auto"/>
        </w:rPr>
      </w:pPr>
      <w:bookmarkStart w:id="52" w:name="_Toc13759"/>
      <w:bookmarkStart w:id="53" w:name="_Toc106350589"/>
      <w:bookmarkStart w:id="54" w:name="_Toc106197361"/>
      <w:bookmarkStart w:id="55" w:name="_Toc107048368"/>
      <w:bookmarkStart w:id="56" w:name="_Toc107048317"/>
      <w:bookmarkStart w:id="57" w:name="_Toc107072131"/>
      <w:bookmarkStart w:id="58" w:name="_Toc106350590"/>
      <w:bookmarkStart w:id="59" w:name="_Toc107072132"/>
      <w:bookmarkStart w:id="60" w:name="_Toc107048369"/>
      <w:bookmarkStart w:id="61" w:name="_Toc96693448"/>
      <w:bookmarkStart w:id="62" w:name="_Toc106197362"/>
      <w:bookmarkStart w:id="63" w:name="_Toc107048318"/>
      <w:bookmarkStart w:id="64" w:name="_Toc11832"/>
      <w:r>
        <w:rPr>
          <w:rFonts w:hint="eastAsia"/>
          <w:color w:val="auto"/>
        </w:rPr>
        <w:t>申请材料</w:t>
      </w:r>
      <w:bookmarkEnd w:id="52"/>
      <w:bookmarkEnd w:id="53"/>
      <w:bookmarkEnd w:id="54"/>
      <w:bookmarkEnd w:id="55"/>
      <w:bookmarkEnd w:id="56"/>
      <w:bookmarkEnd w:id="57"/>
    </w:p>
    <w:p>
      <w:pPr>
        <w:pStyle w:val="258"/>
        <w:ind w:firstLine="420"/>
        <w:rPr>
          <w:color w:val="auto"/>
        </w:rPr>
      </w:pPr>
      <w:r>
        <w:rPr>
          <w:rFonts w:hint="eastAsia"/>
          <w:color w:val="auto"/>
        </w:rPr>
        <w:t>申请人应提交以下材料：</w:t>
      </w:r>
    </w:p>
    <w:p>
      <w:pPr>
        <w:pStyle w:val="305"/>
        <w:numPr>
          <w:ilvl w:val="0"/>
          <w:numId w:val="31"/>
        </w:numPr>
        <w:rPr>
          <w:color w:val="auto"/>
        </w:rPr>
      </w:pPr>
      <w:r>
        <w:rPr>
          <w:rFonts w:hint="eastAsia"/>
          <w:color w:val="auto"/>
        </w:rPr>
        <w:t>灵活就业“全链通办”申请表（详见附录B）；</w:t>
      </w:r>
    </w:p>
    <w:p>
      <w:pPr>
        <w:pStyle w:val="305"/>
        <w:numPr>
          <w:ilvl w:val="0"/>
          <w:numId w:val="31"/>
        </w:numPr>
        <w:rPr>
          <w:color w:val="auto"/>
        </w:rPr>
      </w:pPr>
      <w:r>
        <w:rPr>
          <w:rFonts w:hint="eastAsia"/>
          <w:color w:val="auto"/>
        </w:rPr>
        <w:t>居民身份证；</w:t>
      </w:r>
    </w:p>
    <w:p>
      <w:pPr>
        <w:pStyle w:val="305"/>
        <w:numPr>
          <w:ilvl w:val="0"/>
          <w:numId w:val="31"/>
        </w:numPr>
        <w:rPr>
          <w:color w:val="auto"/>
        </w:rPr>
      </w:pPr>
      <w:r>
        <w:rPr>
          <w:rFonts w:hint="eastAsia"/>
          <w:color w:val="auto"/>
        </w:rPr>
        <w:t>居住证或户口簿</w:t>
      </w:r>
    </w:p>
    <w:p>
      <w:pPr>
        <w:pStyle w:val="305"/>
        <w:numPr>
          <w:ilvl w:val="0"/>
          <w:numId w:val="31"/>
        </w:numPr>
        <w:rPr>
          <w:color w:val="auto"/>
        </w:rPr>
      </w:pPr>
      <w:r>
        <w:rPr>
          <w:rFonts w:hint="eastAsia"/>
          <w:color w:val="auto"/>
        </w:rPr>
        <w:t>《就业创业证》（非初次办理人员提供）；</w:t>
      </w:r>
    </w:p>
    <w:p>
      <w:pPr>
        <w:pStyle w:val="305"/>
        <w:numPr>
          <w:ilvl w:val="0"/>
          <w:numId w:val="31"/>
        </w:numPr>
        <w:rPr>
          <w:color w:val="auto"/>
        </w:rPr>
      </w:pPr>
      <w:r>
        <w:rPr>
          <w:rFonts w:hint="eastAsia"/>
          <w:color w:val="auto"/>
        </w:rPr>
        <w:t>初次办理就业登记的，线下办理应提供近期2寸免冠彩色证件照2张（用于核发《就业创业证》），线上办理应提供相同规格的电子照片；</w:t>
      </w:r>
    </w:p>
    <w:p>
      <w:pPr>
        <w:pStyle w:val="305"/>
        <w:numPr>
          <w:ilvl w:val="0"/>
          <w:numId w:val="31"/>
        </w:numPr>
        <w:rPr>
          <w:color w:val="auto"/>
        </w:rPr>
      </w:pPr>
      <w:r>
        <w:rPr>
          <w:rFonts w:hint="eastAsia"/>
          <w:color w:val="auto"/>
        </w:rPr>
        <w:t>委托他人办理档案的接收和转递的（红色部分删除，档案的接收需本人办理</w:t>
      </w:r>
      <w:r>
        <w:rPr>
          <w:rFonts w:hint="eastAsia"/>
          <w:color w:val="auto"/>
          <w:lang w:eastAsia="zh-CN"/>
        </w:rPr>
        <w:t>可</w:t>
      </w:r>
      <w:r>
        <w:rPr>
          <w:rFonts w:hint="eastAsia"/>
          <w:color w:val="auto"/>
        </w:rPr>
        <w:t>委托他人代为办理），需提供拟接收单位出具的《调档函》《个人授权委托书》、委托人身份证复印件、受托人身份证；</w:t>
      </w:r>
    </w:p>
    <w:p>
      <w:pPr>
        <w:pStyle w:val="305"/>
        <w:numPr>
          <w:ilvl w:val="0"/>
          <w:numId w:val="31"/>
        </w:numPr>
        <w:rPr>
          <w:color w:val="auto"/>
        </w:rPr>
      </w:pPr>
      <w:r>
        <w:rPr>
          <w:rFonts w:hint="eastAsia"/>
          <w:color w:val="auto"/>
        </w:rPr>
        <w:t>毕业证书（大专以上高校毕业生提供）</w:t>
      </w:r>
      <w:r>
        <w:rPr>
          <w:rFonts w:hint="eastAsia"/>
          <w:color w:val="auto"/>
          <w:lang w:eastAsia="zh-CN"/>
        </w:rPr>
        <w:t>（人才中心无需提供）</w:t>
      </w:r>
      <w:r>
        <w:rPr>
          <w:rFonts w:hint="eastAsia"/>
          <w:color w:val="auto"/>
        </w:rPr>
        <w:t>；就业的，提供《劳动合同》原件；创业的, 提供《营业执照副本》原件；未就业的，提供户口本原件；辞职辞退、取消录(聘)用或被开除的机关事业单位工作人员，与企事业单位解除或终止劳动(聘用)关系人员，提供与单位脱离行政（或劳动）隶属关系的批文、批复或通知原件。</w:t>
      </w:r>
      <w:r>
        <w:rPr>
          <w:rFonts w:hint="eastAsia"/>
          <w:color w:val="auto"/>
          <w:lang w:eastAsia="zh-CN"/>
        </w:rPr>
        <w:t>（人才中心档案接收）</w:t>
      </w:r>
      <w:r>
        <w:rPr>
          <w:rFonts w:hint="eastAsia"/>
          <w:color w:val="auto"/>
        </w:rPr>
        <w:t>提供灵活就业的有效证明材料（如与滴滴、美团等平台签订的合作协议等）或实行个人承诺制或劳动合同（与非公有制单位有劳动关系的个人）或营业执照副本（自主创业的个人）；</w:t>
      </w:r>
    </w:p>
    <w:p>
      <w:pPr>
        <w:pStyle w:val="305"/>
        <w:numPr>
          <w:ilvl w:val="0"/>
          <w:numId w:val="31"/>
        </w:numPr>
        <w:rPr>
          <w:color w:val="auto"/>
        </w:rPr>
      </w:pPr>
      <w:r>
        <w:rPr>
          <w:rFonts w:hint="eastAsia"/>
          <w:color w:val="auto"/>
        </w:rPr>
        <w:t>委托他人办理灵活就业人员参保登记的，需提供被委托人身份证或委托书。</w:t>
      </w:r>
    </w:p>
    <w:p>
      <w:pPr>
        <w:pStyle w:val="303"/>
        <w:rPr>
          <w:color w:val="auto"/>
        </w:rPr>
      </w:pPr>
      <w:r>
        <w:rPr>
          <w:rFonts w:hint="eastAsia"/>
          <w:color w:val="auto"/>
        </w:rPr>
        <w:t>上述材料实现数据共享核验后，不再要求申请人提交。</w:t>
      </w:r>
    </w:p>
    <w:p>
      <w:pPr>
        <w:pStyle w:val="259"/>
        <w:rPr>
          <w:color w:val="auto"/>
        </w:rPr>
      </w:pPr>
      <w:r>
        <w:rPr>
          <w:rFonts w:hint="eastAsia"/>
          <w:color w:val="auto"/>
        </w:rPr>
        <w:t>业务流程</w:t>
      </w:r>
      <w:bookmarkEnd w:id="58"/>
      <w:bookmarkEnd w:id="59"/>
      <w:bookmarkEnd w:id="60"/>
      <w:bookmarkEnd w:id="61"/>
      <w:bookmarkEnd w:id="62"/>
      <w:bookmarkEnd w:id="63"/>
      <w:bookmarkEnd w:id="64"/>
    </w:p>
    <w:p>
      <w:pPr>
        <w:pStyle w:val="260"/>
        <w:rPr>
          <w:color w:val="auto"/>
        </w:rPr>
      </w:pPr>
      <w:bookmarkStart w:id="65" w:name="_Toc107048319"/>
      <w:bookmarkStart w:id="66" w:name="_Toc106350591"/>
      <w:bookmarkStart w:id="67" w:name="_Toc107072133"/>
      <w:bookmarkStart w:id="68" w:name="_Toc107048370"/>
      <w:bookmarkStart w:id="69" w:name="_Toc4035"/>
      <w:r>
        <w:rPr>
          <w:rFonts w:hint="eastAsia"/>
          <w:color w:val="auto"/>
        </w:rPr>
        <w:t>提出申请</w:t>
      </w:r>
      <w:bookmarkEnd w:id="65"/>
      <w:bookmarkEnd w:id="66"/>
      <w:bookmarkEnd w:id="67"/>
      <w:bookmarkEnd w:id="68"/>
      <w:bookmarkEnd w:id="69"/>
    </w:p>
    <w:p>
      <w:pPr>
        <w:pStyle w:val="261"/>
        <w:spacing w:before="156" w:after="156"/>
        <w:rPr>
          <w:color w:val="auto"/>
        </w:rPr>
      </w:pPr>
      <w:r>
        <w:rPr>
          <w:rFonts w:hint="eastAsia"/>
          <w:color w:val="auto"/>
        </w:rPr>
        <w:t>线上申请</w:t>
      </w:r>
    </w:p>
    <w:p>
      <w:pPr>
        <w:pStyle w:val="258"/>
        <w:ind w:firstLine="420"/>
        <w:rPr>
          <w:color w:val="auto"/>
        </w:rPr>
      </w:pPr>
      <w:r>
        <w:rPr>
          <w:rFonts w:hint="eastAsia"/>
          <w:color w:val="auto"/>
        </w:rPr>
        <w:t>申请人在广西数字政务一体化平台、广西政务A</w:t>
      </w:r>
      <w:r>
        <w:rPr>
          <w:color w:val="auto"/>
        </w:rPr>
        <w:t>PP</w:t>
      </w:r>
      <w:r>
        <w:rPr>
          <w:rFonts w:hint="eastAsia"/>
          <w:color w:val="auto"/>
        </w:rPr>
        <w:t>等平台在线提交灵活就业“全链通办”申请表及申请材料。</w:t>
      </w:r>
    </w:p>
    <w:p>
      <w:pPr>
        <w:pStyle w:val="261"/>
        <w:spacing w:before="156" w:after="156"/>
        <w:rPr>
          <w:color w:val="auto"/>
        </w:rPr>
      </w:pPr>
      <w:r>
        <w:rPr>
          <w:rFonts w:hint="eastAsia"/>
          <w:color w:val="auto"/>
        </w:rPr>
        <w:t>线下申请</w:t>
      </w:r>
    </w:p>
    <w:p>
      <w:pPr>
        <w:pStyle w:val="258"/>
        <w:ind w:firstLine="420"/>
        <w:rPr>
          <w:color w:val="auto"/>
        </w:rPr>
      </w:pPr>
      <w:r>
        <w:rPr>
          <w:rFonts w:hint="eastAsia"/>
          <w:color w:val="auto"/>
        </w:rPr>
        <w:t>申请人在政务服务大厅“一窗受理”综合窗口提出申请，提交灵活就业“全链通办”申请表及申请材料。</w:t>
      </w:r>
    </w:p>
    <w:p>
      <w:pPr>
        <w:pStyle w:val="260"/>
        <w:rPr>
          <w:color w:val="auto"/>
        </w:rPr>
      </w:pPr>
      <w:bookmarkStart w:id="70" w:name="_Toc107072134"/>
      <w:bookmarkStart w:id="71" w:name="_Toc107048320"/>
      <w:bookmarkStart w:id="72" w:name="_Toc107048371"/>
      <w:bookmarkStart w:id="73" w:name="_Toc19821"/>
      <w:bookmarkStart w:id="74" w:name="_Toc106350592"/>
      <w:r>
        <w:rPr>
          <w:rFonts w:hint="eastAsia"/>
          <w:color w:val="auto"/>
        </w:rPr>
        <w:t>受理</w:t>
      </w:r>
      <w:bookmarkEnd w:id="70"/>
      <w:bookmarkEnd w:id="71"/>
      <w:bookmarkEnd w:id="72"/>
      <w:bookmarkEnd w:id="73"/>
      <w:bookmarkEnd w:id="74"/>
    </w:p>
    <w:p>
      <w:pPr>
        <w:pStyle w:val="258"/>
        <w:ind w:firstLine="420"/>
        <w:rPr>
          <w:color w:val="auto"/>
        </w:rPr>
      </w:pPr>
      <w:r>
        <w:rPr>
          <w:rFonts w:hint="eastAsia"/>
          <w:color w:val="auto"/>
        </w:rPr>
        <w:t>“一窗受理”综合窗口在获取申请材料后，对申请材料进行初审，对符合受理条件的且材料齐全的，初审通过后，出具受理通知书，将相关申请材料分类推送至各部门；对符合受理条件但材料不齐全的，一次性告知申请人补正材料或根据申请人意愿采取容缺受理、承诺审批；对不符合受理条件的，出具不予受理通知书并告知原因。</w:t>
      </w:r>
    </w:p>
    <w:p>
      <w:pPr>
        <w:pStyle w:val="260"/>
        <w:rPr>
          <w:color w:val="auto"/>
        </w:rPr>
      </w:pPr>
      <w:bookmarkStart w:id="75" w:name="_Toc107072135"/>
      <w:bookmarkStart w:id="76" w:name="_Toc107048321"/>
      <w:bookmarkStart w:id="77" w:name="_Toc25599"/>
      <w:bookmarkStart w:id="78" w:name="_Toc107048372"/>
      <w:bookmarkStart w:id="79" w:name="_Toc106350593"/>
      <w:r>
        <w:rPr>
          <w:rFonts w:hint="eastAsia"/>
          <w:color w:val="auto"/>
        </w:rPr>
        <w:t>办理</w:t>
      </w:r>
      <w:bookmarkEnd w:id="75"/>
      <w:bookmarkEnd w:id="76"/>
      <w:bookmarkEnd w:id="77"/>
      <w:bookmarkEnd w:id="78"/>
      <w:bookmarkEnd w:id="79"/>
    </w:p>
    <w:p>
      <w:pPr>
        <w:widowControl/>
        <w:numPr>
          <w:ilvl w:val="2"/>
          <w:numId w:val="11"/>
        </w:numPr>
        <w:spacing w:before="156" w:beforeLines="50" w:after="156" w:afterLines="50"/>
        <w:jc w:val="left"/>
        <w:outlineLvl w:val="3"/>
        <w:rPr>
          <w:rFonts w:ascii="黑体" w:eastAsia="黑体"/>
          <w:color w:val="auto"/>
          <w:kern w:val="0"/>
          <w:szCs w:val="21"/>
        </w:rPr>
      </w:pPr>
      <w:r>
        <w:rPr>
          <w:rFonts w:hint="eastAsia" w:ascii="黑体" w:eastAsia="黑体"/>
          <w:color w:val="auto"/>
          <w:kern w:val="0"/>
          <w:szCs w:val="21"/>
        </w:rPr>
        <w:t>就业登记</w:t>
      </w:r>
    </w:p>
    <w:p>
      <w:pPr>
        <w:pStyle w:val="327"/>
        <w:rPr>
          <w:color w:val="auto"/>
        </w:rPr>
      </w:pPr>
      <w:r>
        <w:rPr>
          <w:rFonts w:hint="eastAsia"/>
          <w:color w:val="auto"/>
          <w:lang w:eastAsia="zh-CN"/>
        </w:rPr>
        <w:t>申请人户口所在地或常住地城区劳动保障管理服务中心（县就业服务中心）</w:t>
      </w:r>
      <w:r>
        <w:rPr>
          <w:rFonts w:hint="eastAsia"/>
          <w:color w:val="auto"/>
        </w:rPr>
        <w:t>对推送的材料进行查收并</w:t>
      </w:r>
      <w:r>
        <w:rPr>
          <w:rFonts w:hint="eastAsia" w:ascii="宋体"/>
          <w:color w:val="auto"/>
          <w:szCs w:val="20"/>
        </w:rPr>
        <w:t>即时办理，</w:t>
      </w:r>
      <w:r>
        <w:rPr>
          <w:rFonts w:hint="eastAsia"/>
          <w:color w:val="auto"/>
        </w:rPr>
        <w:t>出具就业创业证或就业登记业务反馈单</w:t>
      </w:r>
      <w:r>
        <w:rPr>
          <w:rFonts w:hint="eastAsia" w:ascii="宋体"/>
          <w:color w:val="auto"/>
          <w:szCs w:val="20"/>
        </w:rPr>
        <w:t>。</w:t>
      </w:r>
    </w:p>
    <w:p>
      <w:pPr>
        <w:pStyle w:val="327"/>
        <w:spacing w:before="78" w:after="78"/>
        <w:rPr>
          <w:color w:val="auto"/>
        </w:rPr>
      </w:pPr>
      <w:r>
        <w:rPr>
          <w:rFonts w:hint="eastAsia" w:ascii="宋体"/>
          <w:color w:val="auto"/>
          <w:szCs w:val="20"/>
        </w:rPr>
        <w:t>通过广西数字政务一体化平台、广西政务A</w:t>
      </w:r>
      <w:r>
        <w:rPr>
          <w:rFonts w:ascii="宋体"/>
          <w:color w:val="auto"/>
          <w:szCs w:val="20"/>
        </w:rPr>
        <w:t>PP</w:t>
      </w:r>
      <w:r>
        <w:rPr>
          <w:rFonts w:hint="eastAsia" w:ascii="宋体"/>
          <w:color w:val="auto"/>
          <w:szCs w:val="20"/>
        </w:rPr>
        <w:t>等平台</w:t>
      </w:r>
      <w:r>
        <w:rPr>
          <w:rFonts w:hint="eastAsia"/>
          <w:color w:val="auto"/>
        </w:rPr>
        <w:t>向申请人推送就业登记受理办结进度</w:t>
      </w:r>
      <w:r>
        <w:rPr>
          <w:rFonts w:hint="eastAsia" w:ascii="宋体"/>
          <w:color w:val="auto"/>
          <w:szCs w:val="20"/>
        </w:rPr>
        <w:t>，包括未办结、已办结等状态。</w:t>
      </w:r>
    </w:p>
    <w:p>
      <w:pPr>
        <w:pStyle w:val="327"/>
        <w:rPr>
          <w:color w:val="auto"/>
        </w:rPr>
      </w:pPr>
      <w:r>
        <w:rPr>
          <w:rFonts w:hint="eastAsia" w:ascii="宋体"/>
          <w:color w:val="auto"/>
          <w:szCs w:val="20"/>
        </w:rPr>
        <w:t>完成就业登记办理后，</w:t>
      </w:r>
      <w:r>
        <w:rPr>
          <w:rFonts w:hint="eastAsia"/>
          <w:color w:val="auto"/>
          <w:lang w:eastAsia="zh-CN"/>
        </w:rPr>
        <w:t>申请人户口所在地或常住地城区劳动保障管理服务中心（县就业服务中心）</w:t>
      </w:r>
      <w:r>
        <w:rPr>
          <w:rFonts w:hint="eastAsia" w:ascii="宋体"/>
          <w:color w:val="auto"/>
          <w:szCs w:val="20"/>
        </w:rPr>
        <w:t>应将就业创业证或就业登记业务反馈单送达至申请人。</w:t>
      </w:r>
    </w:p>
    <w:p>
      <w:pPr>
        <w:widowControl/>
        <w:numPr>
          <w:ilvl w:val="2"/>
          <w:numId w:val="11"/>
        </w:numPr>
        <w:spacing w:beforeLines="50" w:afterLines="50"/>
        <w:jc w:val="left"/>
        <w:outlineLvl w:val="3"/>
        <w:rPr>
          <w:rFonts w:ascii="黑体" w:eastAsia="黑体"/>
          <w:color w:val="auto"/>
          <w:kern w:val="0"/>
          <w:szCs w:val="21"/>
        </w:rPr>
      </w:pPr>
      <w:r>
        <w:rPr>
          <w:rFonts w:hint="eastAsia" w:ascii="黑体" w:eastAsia="黑体"/>
          <w:color w:val="auto"/>
          <w:kern w:val="0"/>
          <w:szCs w:val="21"/>
        </w:rPr>
        <w:t>档案的接收和转递（流动人员）</w:t>
      </w:r>
    </w:p>
    <w:p>
      <w:pPr>
        <w:pStyle w:val="327"/>
        <w:rPr>
          <w:color w:val="auto"/>
        </w:rPr>
      </w:pPr>
      <w:r>
        <w:rPr>
          <w:rFonts w:hint="eastAsia"/>
          <w:color w:val="auto"/>
        </w:rPr>
        <w:t>人力资源社会保障部门对推送的材料进行查收，人事档案接收应在</w:t>
      </w:r>
      <w:r>
        <w:rPr>
          <w:color w:val="auto"/>
        </w:rPr>
        <w:t>2</w:t>
      </w:r>
      <w:r>
        <w:rPr>
          <w:rFonts w:hint="eastAsia"/>
          <w:color w:val="auto"/>
        </w:rPr>
        <w:t>个工作日内办理完成，出具《调档函</w:t>
      </w:r>
      <w:r>
        <w:rPr>
          <w:rFonts w:hint="eastAsia" w:ascii="宋体"/>
          <w:color w:val="auto"/>
          <w:szCs w:val="20"/>
        </w:rPr>
        <w:t>》</w:t>
      </w:r>
      <w:r>
        <w:rPr>
          <w:rFonts w:hint="eastAsia"/>
          <w:color w:val="auto"/>
        </w:rPr>
        <w:t>，</w:t>
      </w:r>
      <w:r>
        <w:rPr>
          <w:rFonts w:hint="eastAsia" w:ascii="Times New Roman" w:eastAsia="宋体"/>
          <w:color w:val="auto"/>
        </w:rPr>
        <w:t>人事</w:t>
      </w:r>
      <w:r>
        <w:rPr>
          <w:rFonts w:hint="eastAsia"/>
          <w:color w:val="auto"/>
        </w:rPr>
        <w:t>档案的转出应在1</w:t>
      </w:r>
      <w:r>
        <w:rPr>
          <w:color w:val="auto"/>
        </w:rPr>
        <w:t>1</w:t>
      </w:r>
      <w:r>
        <w:rPr>
          <w:rFonts w:hint="eastAsia"/>
          <w:color w:val="auto"/>
        </w:rPr>
        <w:t>个工作日内办理完成。</w:t>
      </w:r>
    </w:p>
    <w:p>
      <w:pPr>
        <w:pStyle w:val="327"/>
        <w:spacing w:before="78" w:after="78"/>
        <w:rPr>
          <w:color w:val="auto"/>
        </w:rPr>
      </w:pPr>
      <w:r>
        <w:rPr>
          <w:rFonts w:hint="eastAsia" w:ascii="宋体"/>
          <w:color w:val="auto"/>
          <w:szCs w:val="20"/>
        </w:rPr>
        <w:t>通过广西数字政务一体化平台、广西政务A</w:t>
      </w:r>
      <w:r>
        <w:rPr>
          <w:rFonts w:ascii="宋体"/>
          <w:color w:val="auto"/>
          <w:szCs w:val="20"/>
        </w:rPr>
        <w:t>PP</w:t>
      </w:r>
      <w:r>
        <w:rPr>
          <w:rFonts w:hint="eastAsia" w:ascii="宋体"/>
          <w:color w:val="auto"/>
          <w:szCs w:val="20"/>
        </w:rPr>
        <w:t>等平台</w:t>
      </w:r>
      <w:r>
        <w:rPr>
          <w:rFonts w:hint="eastAsia"/>
          <w:color w:val="auto"/>
        </w:rPr>
        <w:t>向申请人推送档案的接收和转递（流动人员）受理办结进度</w:t>
      </w:r>
      <w:r>
        <w:rPr>
          <w:rFonts w:hint="eastAsia" w:ascii="宋体"/>
          <w:color w:val="auto"/>
          <w:szCs w:val="20"/>
        </w:rPr>
        <w:t>，包括未办结、已办结等状态。</w:t>
      </w:r>
    </w:p>
    <w:p>
      <w:pPr>
        <w:pStyle w:val="327"/>
        <w:rPr>
          <w:color w:val="auto"/>
        </w:rPr>
      </w:pPr>
      <w:r>
        <w:rPr>
          <w:rFonts w:hint="eastAsia"/>
          <w:color w:val="auto"/>
        </w:rPr>
        <w:t>完成档案的接收和转递（删除转递）后，应将纸质版《调档函》送达至申请人</w:t>
      </w:r>
      <w:r>
        <w:rPr>
          <w:rFonts w:hint="eastAsia"/>
          <w:color w:val="auto"/>
          <w:lang w:eastAsia="zh-CN"/>
        </w:rPr>
        <w:t>（网上办理转递的可直接下载电子调函；现场办理的当场出具调档函）</w:t>
      </w:r>
      <w:r>
        <w:rPr>
          <w:rFonts w:hint="eastAsia"/>
          <w:color w:val="auto"/>
        </w:rPr>
        <w:t>。</w:t>
      </w:r>
    </w:p>
    <w:p>
      <w:pPr>
        <w:widowControl/>
        <w:numPr>
          <w:ilvl w:val="2"/>
          <w:numId w:val="11"/>
        </w:numPr>
        <w:spacing w:before="156" w:beforeLines="50" w:after="156" w:afterLines="50"/>
        <w:jc w:val="left"/>
        <w:outlineLvl w:val="3"/>
        <w:rPr>
          <w:rFonts w:ascii="黑体" w:eastAsia="黑体"/>
          <w:color w:val="auto"/>
          <w:kern w:val="0"/>
          <w:szCs w:val="21"/>
        </w:rPr>
      </w:pPr>
      <w:r>
        <w:rPr>
          <w:rFonts w:hint="eastAsia" w:ascii="黑体" w:eastAsia="黑体"/>
          <w:color w:val="auto"/>
          <w:kern w:val="0"/>
          <w:szCs w:val="21"/>
        </w:rPr>
        <w:t>灵活就业人员参保登记</w:t>
      </w:r>
    </w:p>
    <w:p>
      <w:pPr>
        <w:pStyle w:val="258"/>
        <w:ind w:firstLineChars="0"/>
        <w:rPr>
          <w:color w:val="auto"/>
        </w:rPr>
      </w:pPr>
      <w:r>
        <w:rPr>
          <w:rFonts w:hint="eastAsia"/>
          <w:color w:val="auto"/>
          <w:lang w:eastAsia="zh-CN"/>
        </w:rPr>
        <w:t>（备注：“广西数字政务一体化平台”须与“广西数智人社业务管理信息系统”正常交换数据才能实现全链通办业务；如不能正常交换数据，则社保相关业务无法办理。）</w:t>
      </w:r>
    </w:p>
    <w:p>
      <w:pPr>
        <w:pStyle w:val="327"/>
        <w:rPr>
          <w:color w:val="auto"/>
        </w:rPr>
      </w:pPr>
      <w:r>
        <w:rPr>
          <w:rFonts w:hint="eastAsia"/>
          <w:color w:val="auto"/>
        </w:rPr>
        <w:t>人力资源社会保障部门对推送的材料进行查收并即时办理，同时</w:t>
      </w:r>
      <w:r>
        <w:rPr>
          <w:rFonts w:hint="eastAsia" w:ascii="宋体"/>
          <w:color w:val="auto"/>
          <w:szCs w:val="20"/>
        </w:rPr>
        <w:t>将办理结果推送至税务部门</w:t>
      </w:r>
      <w:r>
        <w:rPr>
          <w:rFonts w:hint="eastAsia"/>
          <w:color w:val="auto"/>
        </w:rPr>
        <w:t>。</w:t>
      </w:r>
    </w:p>
    <w:p>
      <w:pPr>
        <w:pStyle w:val="327"/>
        <w:spacing w:before="78" w:after="78"/>
        <w:rPr>
          <w:color w:val="auto"/>
        </w:rPr>
      </w:pPr>
      <w:r>
        <w:rPr>
          <w:rFonts w:hint="eastAsia" w:ascii="宋体"/>
          <w:color w:val="auto"/>
          <w:szCs w:val="20"/>
        </w:rPr>
        <w:t>通过广西数字政务一体化平台、广西政务A</w:t>
      </w:r>
      <w:r>
        <w:rPr>
          <w:rFonts w:ascii="宋体"/>
          <w:color w:val="auto"/>
          <w:szCs w:val="20"/>
        </w:rPr>
        <w:t>PP</w:t>
      </w:r>
      <w:r>
        <w:rPr>
          <w:rFonts w:hint="eastAsia" w:ascii="宋体"/>
          <w:color w:val="auto"/>
          <w:szCs w:val="20"/>
        </w:rPr>
        <w:t>等平台</w:t>
      </w:r>
      <w:r>
        <w:rPr>
          <w:rFonts w:hint="eastAsia"/>
          <w:color w:val="auto"/>
        </w:rPr>
        <w:t>向申请人推送灵活就业人员参保登记受理办结进度</w:t>
      </w:r>
      <w:r>
        <w:rPr>
          <w:rFonts w:hint="eastAsia" w:ascii="宋体"/>
          <w:color w:val="auto"/>
          <w:szCs w:val="20"/>
        </w:rPr>
        <w:t>，包括未办结、已办结等状态。</w:t>
      </w:r>
    </w:p>
    <w:p>
      <w:pPr>
        <w:widowControl/>
        <w:numPr>
          <w:ilvl w:val="2"/>
          <w:numId w:val="11"/>
        </w:numPr>
        <w:spacing w:before="156" w:beforeLines="50" w:after="156" w:afterLines="50"/>
        <w:ind w:left="17" w:hanging="16" w:hangingChars="8"/>
        <w:jc w:val="left"/>
        <w:outlineLvl w:val="3"/>
        <w:rPr>
          <w:rFonts w:ascii="黑体" w:eastAsia="黑体"/>
          <w:color w:val="auto"/>
          <w:kern w:val="0"/>
          <w:szCs w:val="21"/>
        </w:rPr>
      </w:pPr>
      <w:r>
        <w:rPr>
          <w:rFonts w:hint="eastAsia" w:ascii="黑体" w:eastAsia="黑体"/>
          <w:color w:val="auto"/>
          <w:kern w:val="0"/>
          <w:szCs w:val="21"/>
        </w:rPr>
        <w:t>基本医疗保险参保和变更登记</w:t>
      </w:r>
    </w:p>
    <w:p>
      <w:pPr>
        <w:pStyle w:val="327"/>
        <w:rPr>
          <w:color w:val="auto"/>
        </w:rPr>
      </w:pPr>
      <w:r>
        <w:rPr>
          <w:rFonts w:hint="eastAsia"/>
          <w:color w:val="auto"/>
        </w:rPr>
        <w:t>医保部门对推送的材料进行查收并应即时办理，同时将办理结果推送至税务部门。</w:t>
      </w:r>
    </w:p>
    <w:p>
      <w:pPr>
        <w:pStyle w:val="327"/>
        <w:rPr>
          <w:rFonts w:ascii="宋体"/>
          <w:color w:val="auto"/>
          <w:szCs w:val="20"/>
        </w:rPr>
      </w:pPr>
      <w:r>
        <w:rPr>
          <w:rFonts w:hint="eastAsia" w:ascii="宋体"/>
          <w:color w:val="auto"/>
          <w:szCs w:val="20"/>
        </w:rPr>
        <w:t>通过广西数字政务一体化平台、广西政务A</w:t>
      </w:r>
      <w:r>
        <w:rPr>
          <w:rFonts w:ascii="宋体"/>
          <w:color w:val="auto"/>
          <w:szCs w:val="20"/>
        </w:rPr>
        <w:t>PP</w:t>
      </w:r>
      <w:r>
        <w:rPr>
          <w:rFonts w:hint="eastAsia" w:ascii="宋体"/>
          <w:color w:val="auto"/>
          <w:szCs w:val="20"/>
        </w:rPr>
        <w:t>等平台向申请人推送基本医疗保险参保信息和变更登记受理办结进度，包括未办结、已办结等状态。</w:t>
      </w:r>
    </w:p>
    <w:p>
      <w:pPr>
        <w:widowControl/>
        <w:numPr>
          <w:ilvl w:val="2"/>
          <w:numId w:val="11"/>
        </w:numPr>
        <w:spacing w:before="156" w:beforeLines="50" w:after="156" w:afterLines="50"/>
        <w:ind w:left="17" w:hanging="16" w:hangingChars="8"/>
        <w:jc w:val="left"/>
        <w:outlineLvl w:val="3"/>
        <w:rPr>
          <w:rFonts w:ascii="黑体" w:eastAsia="黑体"/>
          <w:color w:val="auto"/>
          <w:kern w:val="0"/>
          <w:szCs w:val="21"/>
        </w:rPr>
      </w:pPr>
      <w:r>
        <w:rPr>
          <w:rFonts w:hint="eastAsia" w:ascii="黑体" w:eastAsia="黑体"/>
          <w:color w:val="auto"/>
          <w:kern w:val="0"/>
          <w:szCs w:val="21"/>
        </w:rPr>
        <w:t>灵活就业人员社会保险费申报</w:t>
      </w:r>
    </w:p>
    <w:p>
      <w:pPr>
        <w:pStyle w:val="327"/>
        <w:rPr>
          <w:color w:val="auto"/>
        </w:rPr>
      </w:pPr>
      <w:r>
        <w:rPr>
          <w:rFonts w:hint="eastAsia"/>
          <w:color w:val="auto"/>
        </w:rPr>
        <w:t>税务部门对推送的材料进行查收并应即时办理，出具社会保险费证明，同时将办理结果推送至</w:t>
      </w:r>
      <w:r>
        <w:rPr>
          <w:rFonts w:hint="eastAsia" w:ascii="宋体"/>
          <w:color w:val="auto"/>
          <w:szCs w:val="20"/>
        </w:rPr>
        <w:t>人力资源社会保障和医保部门</w:t>
      </w:r>
      <w:r>
        <w:rPr>
          <w:rFonts w:hint="eastAsia"/>
          <w:color w:val="auto"/>
        </w:rPr>
        <w:t>。</w:t>
      </w:r>
    </w:p>
    <w:p>
      <w:pPr>
        <w:pStyle w:val="327"/>
        <w:rPr>
          <w:color w:val="auto"/>
        </w:rPr>
      </w:pPr>
      <w:r>
        <w:rPr>
          <w:rFonts w:hint="eastAsia" w:ascii="宋体"/>
          <w:color w:val="auto"/>
          <w:szCs w:val="20"/>
        </w:rPr>
        <w:t>完成灵活就业人员社会保险费申报后，应将社会保险缴费证明送达至申请人。</w:t>
      </w:r>
    </w:p>
    <w:p>
      <w:pPr>
        <w:pStyle w:val="260"/>
        <w:rPr>
          <w:color w:val="auto"/>
        </w:rPr>
      </w:pPr>
      <w:bookmarkStart w:id="80" w:name="_Toc107048322"/>
      <w:bookmarkStart w:id="81" w:name="_Toc107072136"/>
      <w:bookmarkStart w:id="82" w:name="_Toc106350594"/>
      <w:bookmarkStart w:id="83" w:name="_Toc107048373"/>
      <w:bookmarkStart w:id="84" w:name="_Toc3659"/>
      <w:r>
        <w:rPr>
          <w:rFonts w:hint="eastAsia"/>
          <w:color w:val="auto"/>
        </w:rPr>
        <w:t>业务流程图</w:t>
      </w:r>
      <w:bookmarkEnd w:id="80"/>
      <w:bookmarkEnd w:id="81"/>
      <w:bookmarkEnd w:id="82"/>
      <w:bookmarkEnd w:id="83"/>
      <w:bookmarkEnd w:id="84"/>
    </w:p>
    <w:p>
      <w:pPr>
        <w:pStyle w:val="258"/>
        <w:ind w:firstLine="420"/>
        <w:rPr>
          <w:color w:val="auto"/>
        </w:rPr>
      </w:pPr>
      <w:r>
        <w:rPr>
          <w:rFonts w:hint="eastAsia"/>
          <w:color w:val="auto"/>
        </w:rPr>
        <w:t>灵活就业“全链通办”业务流程图详见附录C。</w:t>
      </w:r>
    </w:p>
    <w:p>
      <w:pPr>
        <w:pStyle w:val="259"/>
        <w:rPr>
          <w:color w:val="auto"/>
        </w:rPr>
      </w:pPr>
      <w:bookmarkStart w:id="85" w:name="_Toc107072137"/>
      <w:bookmarkStart w:id="86" w:name="_Toc107048374"/>
      <w:bookmarkStart w:id="87" w:name="_Toc107048323"/>
      <w:bookmarkStart w:id="88" w:name="_Toc28496"/>
      <w:r>
        <w:rPr>
          <w:rFonts w:hint="eastAsia"/>
          <w:color w:val="auto"/>
        </w:rPr>
        <w:t>办结时限</w:t>
      </w:r>
      <w:bookmarkEnd w:id="85"/>
      <w:bookmarkEnd w:id="86"/>
      <w:bookmarkEnd w:id="87"/>
      <w:bookmarkEnd w:id="88"/>
    </w:p>
    <w:p>
      <w:pPr>
        <w:pStyle w:val="330"/>
        <w:rPr>
          <w:color w:val="auto"/>
        </w:rPr>
      </w:pPr>
      <w:r>
        <w:rPr>
          <w:rFonts w:hint="eastAsia"/>
          <w:color w:val="auto"/>
        </w:rPr>
        <w:t>灵活就业“全链通办”承诺办结时限为13个工作日。</w:t>
      </w:r>
    </w:p>
    <w:p>
      <w:pPr>
        <w:pStyle w:val="330"/>
        <w:rPr>
          <w:color w:val="auto"/>
        </w:rPr>
      </w:pPr>
      <w:r>
        <w:rPr>
          <w:rFonts w:hint="eastAsia"/>
          <w:color w:val="auto"/>
        </w:rPr>
        <w:t>各单一事项承诺办结时限如下：</w:t>
      </w:r>
    </w:p>
    <w:p>
      <w:pPr>
        <w:numPr>
          <w:ilvl w:val="0"/>
          <w:numId w:val="32"/>
        </w:numPr>
        <w:tabs>
          <w:tab w:val="left" w:pos="840"/>
        </w:tabs>
        <w:rPr>
          <w:rFonts w:ascii="宋体" w:hAnsi="宋体" w:cs="宋体"/>
          <w:color w:val="auto"/>
        </w:rPr>
      </w:pPr>
      <w:r>
        <w:rPr>
          <w:rFonts w:hint="eastAsia" w:ascii="宋体" w:hAnsi="宋体" w:cs="宋体"/>
          <w:color w:val="auto"/>
        </w:rPr>
        <w:t>就业登记办结时限为0.5个工作日；</w:t>
      </w:r>
    </w:p>
    <w:p>
      <w:pPr>
        <w:numPr>
          <w:ilvl w:val="0"/>
          <w:numId w:val="32"/>
        </w:numPr>
        <w:tabs>
          <w:tab w:val="left" w:pos="840"/>
        </w:tabs>
        <w:rPr>
          <w:rFonts w:ascii="宋体" w:hAnsi="宋体" w:cs="宋体"/>
          <w:color w:val="auto"/>
        </w:rPr>
      </w:pPr>
      <w:r>
        <w:rPr>
          <w:rFonts w:hint="eastAsia" w:ascii="宋体" w:hAnsi="宋体" w:cs="宋体"/>
          <w:color w:val="auto"/>
        </w:rPr>
        <w:t>人事档案接收办结时限为</w:t>
      </w:r>
      <w:r>
        <w:rPr>
          <w:rFonts w:hint="eastAsia" w:ascii="宋体" w:hAnsi="宋体" w:cs="宋体"/>
          <w:color w:val="auto"/>
          <w:lang w:val="en-US" w:eastAsia="zh-CN"/>
        </w:rPr>
        <w:t>即时办结</w:t>
      </w:r>
      <w:r>
        <w:rPr>
          <w:rFonts w:hint="eastAsia" w:ascii="宋体" w:hAnsi="宋体" w:cs="宋体"/>
          <w:color w:val="auto"/>
        </w:rPr>
        <w:t>，人事档案转出办结时限为</w:t>
      </w:r>
      <w:r>
        <w:rPr>
          <w:rFonts w:hint="eastAsia" w:ascii="宋体" w:hAnsi="宋体" w:cs="宋体"/>
          <w:color w:val="auto"/>
          <w:lang w:val="en-US" w:eastAsia="zh-CN"/>
        </w:rPr>
        <w:t>6</w:t>
      </w:r>
      <w:r>
        <w:rPr>
          <w:rFonts w:hint="eastAsia" w:ascii="宋体" w:hAnsi="宋体" w:cs="宋体"/>
          <w:color w:val="auto"/>
        </w:rPr>
        <w:t>个工作日；</w:t>
      </w:r>
    </w:p>
    <w:p>
      <w:pPr>
        <w:numPr>
          <w:ilvl w:val="0"/>
          <w:numId w:val="32"/>
        </w:numPr>
        <w:tabs>
          <w:tab w:val="left" w:pos="840"/>
        </w:tabs>
        <w:rPr>
          <w:rFonts w:ascii="宋体" w:hAnsi="宋体" w:cs="宋体"/>
          <w:color w:val="auto"/>
        </w:rPr>
      </w:pPr>
      <w:r>
        <w:rPr>
          <w:rFonts w:hint="eastAsia" w:ascii="宋体" w:hAnsi="宋体" w:cs="宋体"/>
          <w:color w:val="auto"/>
        </w:rPr>
        <w:t>灵活就业人员参保登记办结时限为</w:t>
      </w:r>
      <w:r>
        <w:rPr>
          <w:rFonts w:ascii="宋体" w:hAnsi="宋体" w:cs="宋体"/>
          <w:color w:val="auto"/>
        </w:rPr>
        <w:t>0.5</w:t>
      </w:r>
      <w:r>
        <w:rPr>
          <w:rFonts w:hint="eastAsia" w:ascii="宋体" w:hAnsi="宋体" w:cs="宋体"/>
          <w:color w:val="auto"/>
        </w:rPr>
        <w:t>个工作日；</w:t>
      </w:r>
    </w:p>
    <w:p>
      <w:pPr>
        <w:numPr>
          <w:ilvl w:val="0"/>
          <w:numId w:val="32"/>
        </w:numPr>
        <w:tabs>
          <w:tab w:val="left" w:pos="840"/>
        </w:tabs>
        <w:rPr>
          <w:rFonts w:ascii="宋体"/>
          <w:color w:val="auto"/>
        </w:rPr>
      </w:pPr>
      <w:r>
        <w:rPr>
          <w:rFonts w:hint="eastAsia" w:ascii="宋体"/>
          <w:color w:val="auto"/>
        </w:rPr>
        <w:t>基本医疗保险参保信息和变更登记办结时限为0.5个工作日；</w:t>
      </w:r>
    </w:p>
    <w:p>
      <w:pPr>
        <w:numPr>
          <w:ilvl w:val="0"/>
          <w:numId w:val="32"/>
        </w:numPr>
        <w:tabs>
          <w:tab w:val="left" w:pos="840"/>
        </w:tabs>
        <w:rPr>
          <w:rFonts w:ascii="宋体"/>
          <w:color w:val="auto"/>
        </w:rPr>
      </w:pPr>
      <w:r>
        <w:rPr>
          <w:rFonts w:hint="eastAsia" w:ascii="宋体"/>
          <w:color w:val="auto"/>
        </w:rPr>
        <w:t>灵活就业人员社会保险费申报办结时限为0.5个工作日。</w:t>
      </w:r>
    </w:p>
    <w:p>
      <w:pPr>
        <w:numPr>
          <w:ilvl w:val="255"/>
          <w:numId w:val="0"/>
        </w:numPr>
        <w:ind w:left="420"/>
        <w:rPr>
          <w:rFonts w:ascii="宋体"/>
          <w:color w:val="auto"/>
          <w:sz w:val="18"/>
          <w:szCs w:val="16"/>
        </w:rPr>
      </w:pPr>
    </w:p>
    <w:p>
      <w:pPr>
        <w:pStyle w:val="259"/>
        <w:rPr>
          <w:color w:val="auto"/>
        </w:rPr>
      </w:pPr>
      <w:bookmarkStart w:id="89" w:name="_Toc106197365"/>
      <w:bookmarkStart w:id="90" w:name="_Toc107048324"/>
      <w:bookmarkStart w:id="91" w:name="_Toc107048375"/>
      <w:bookmarkStart w:id="92" w:name="_Toc106350595"/>
      <w:bookmarkStart w:id="93" w:name="_Toc107072138"/>
      <w:bookmarkStart w:id="94" w:name="_Toc28336"/>
      <w:r>
        <w:rPr>
          <w:rFonts w:hint="eastAsia"/>
          <w:color w:val="auto"/>
        </w:rPr>
        <w:t>结果送达</w:t>
      </w:r>
      <w:bookmarkEnd w:id="89"/>
      <w:bookmarkEnd w:id="90"/>
      <w:bookmarkEnd w:id="91"/>
      <w:bookmarkEnd w:id="92"/>
      <w:bookmarkEnd w:id="93"/>
      <w:bookmarkEnd w:id="94"/>
    </w:p>
    <w:p>
      <w:pPr>
        <w:pStyle w:val="330"/>
        <w:rPr>
          <w:color w:val="auto"/>
        </w:rPr>
      </w:pPr>
      <w:r>
        <w:rPr>
          <w:rFonts w:hint="eastAsia"/>
          <w:color w:val="auto"/>
        </w:rPr>
        <w:t>应根据申请人需求，按以下方式送达办结结果：</w:t>
      </w:r>
    </w:p>
    <w:p>
      <w:pPr>
        <w:pStyle w:val="305"/>
        <w:numPr>
          <w:ilvl w:val="0"/>
          <w:numId w:val="33"/>
        </w:numPr>
        <w:rPr>
          <w:color w:val="auto"/>
        </w:rPr>
      </w:pPr>
      <w:r>
        <w:rPr>
          <w:rFonts w:hint="eastAsia"/>
          <w:color w:val="auto"/>
        </w:rPr>
        <w:t>就业创业证由申请人现场自行领取或选择邮寄；</w:t>
      </w:r>
    </w:p>
    <w:p>
      <w:pPr>
        <w:pStyle w:val="305"/>
        <w:numPr>
          <w:ilvl w:val="0"/>
          <w:numId w:val="33"/>
        </w:numPr>
        <w:rPr>
          <w:color w:val="auto"/>
        </w:rPr>
      </w:pPr>
      <w:r>
        <w:rPr>
          <w:rFonts w:hint="eastAsia"/>
          <w:color w:val="auto"/>
        </w:rPr>
        <w:t>就业登记业务反馈单可自行网上下载；</w:t>
      </w:r>
    </w:p>
    <w:p>
      <w:pPr>
        <w:pStyle w:val="305"/>
        <w:numPr>
          <w:ilvl w:val="0"/>
          <w:numId w:val="33"/>
        </w:numPr>
        <w:rPr>
          <w:color w:val="auto"/>
        </w:rPr>
      </w:pPr>
      <w:r>
        <w:rPr>
          <w:rFonts w:hint="eastAsia"/>
          <w:color w:val="auto"/>
        </w:rPr>
        <w:t>调档函由申请人现场领取、邮寄送达或登录档案网查询下载电子调档函；</w:t>
      </w:r>
    </w:p>
    <w:p>
      <w:pPr>
        <w:pStyle w:val="305"/>
        <w:numPr>
          <w:ilvl w:val="0"/>
          <w:numId w:val="33"/>
        </w:numPr>
        <w:rPr>
          <w:color w:val="auto"/>
        </w:rPr>
      </w:pPr>
      <w:r>
        <w:rPr>
          <w:rFonts w:hint="eastAsia"/>
          <w:color w:val="auto"/>
        </w:rPr>
        <w:t>档案转出通过短信形式告知申请人，以机要交通方式送达至接档单位；</w:t>
      </w:r>
    </w:p>
    <w:p>
      <w:pPr>
        <w:pStyle w:val="305"/>
        <w:numPr>
          <w:ilvl w:val="0"/>
          <w:numId w:val="33"/>
        </w:numPr>
        <w:rPr>
          <w:color w:val="auto"/>
        </w:rPr>
      </w:pPr>
      <w:r>
        <w:rPr>
          <w:rFonts w:hint="eastAsia"/>
          <w:color w:val="auto"/>
        </w:rPr>
        <w:t>社会保险缴费证明可自行网上下载。</w:t>
      </w:r>
    </w:p>
    <w:p>
      <w:pPr>
        <w:pStyle w:val="330"/>
        <w:rPr>
          <w:color w:val="auto"/>
        </w:rPr>
      </w:pPr>
      <w:r>
        <w:rPr>
          <w:rFonts w:hint="eastAsia"/>
          <w:color w:val="auto"/>
        </w:rPr>
        <w:t>申请人选择自行领取时，广西数字政务一体化平台、广西政务APP以消息推送或短信等方式通知自取证件的时间和地点。</w:t>
      </w:r>
    </w:p>
    <w:p>
      <w:pPr>
        <w:pStyle w:val="330"/>
        <w:rPr>
          <w:color w:val="auto"/>
        </w:rPr>
      </w:pPr>
      <w:r>
        <w:rPr>
          <w:rFonts w:hint="eastAsia"/>
          <w:color w:val="auto"/>
        </w:rPr>
        <w:t>申请人可通过广西数字政务一体化平台、广西政务APP等平台查询就业创业证、就业登记业务反馈单、调档函、</w:t>
      </w:r>
      <w:r>
        <w:rPr>
          <w:rFonts w:hint="eastAsia" w:ascii="宋体"/>
          <w:color w:val="auto"/>
          <w:szCs w:val="20"/>
        </w:rPr>
        <w:t>社会保险缴费证明</w:t>
      </w:r>
      <w:r>
        <w:rPr>
          <w:rFonts w:hint="eastAsia"/>
          <w:color w:val="auto"/>
        </w:rPr>
        <w:t>等信息。</w:t>
      </w:r>
    </w:p>
    <w:p>
      <w:pPr>
        <w:pStyle w:val="259"/>
        <w:rPr>
          <w:color w:val="auto"/>
        </w:rPr>
      </w:pPr>
      <w:bookmarkStart w:id="95" w:name="_Toc106350596"/>
      <w:bookmarkStart w:id="96" w:name="_Toc106197366"/>
      <w:bookmarkStart w:id="97" w:name="_Toc107072139"/>
      <w:bookmarkStart w:id="98" w:name="_Toc690"/>
      <w:bookmarkStart w:id="99" w:name="_Toc107048325"/>
      <w:bookmarkStart w:id="100" w:name="_Toc107048376"/>
      <w:r>
        <w:rPr>
          <w:rFonts w:hint="eastAsia"/>
          <w:color w:val="auto"/>
        </w:rPr>
        <w:t>评价与改进</w:t>
      </w:r>
      <w:bookmarkEnd w:id="95"/>
      <w:bookmarkEnd w:id="96"/>
      <w:bookmarkEnd w:id="97"/>
      <w:bookmarkEnd w:id="98"/>
      <w:bookmarkEnd w:id="99"/>
      <w:bookmarkEnd w:id="100"/>
    </w:p>
    <w:p>
      <w:pPr>
        <w:pStyle w:val="330"/>
        <w:rPr>
          <w:color w:val="auto"/>
        </w:rPr>
      </w:pPr>
      <w:r>
        <w:rPr>
          <w:rFonts w:hint="eastAsia"/>
          <w:color w:val="auto"/>
        </w:rPr>
        <w:t>根据GB/T 39734、GB/T</w:t>
      </w:r>
      <w:r>
        <w:rPr>
          <w:color w:val="auto"/>
        </w:rPr>
        <w:t xml:space="preserve"> </w:t>
      </w:r>
      <w:r>
        <w:rPr>
          <w:rFonts w:hint="eastAsia"/>
          <w:color w:val="auto"/>
        </w:rPr>
        <w:t>39735的评价要求，在事项办结后，向灵活就业人员推送“好差评”服务，接受社会监督。</w:t>
      </w:r>
    </w:p>
    <w:p>
      <w:pPr>
        <w:pStyle w:val="330"/>
        <w:rPr>
          <w:rFonts w:hint="eastAsia"/>
          <w:color w:val="auto"/>
        </w:rPr>
      </w:pPr>
      <w:r>
        <w:rPr>
          <w:rFonts w:hint="eastAsia"/>
          <w:color w:val="auto"/>
        </w:rPr>
        <w:t>根据“好差评”内容，不断改进灵活就业“全链通办”服务效率和质量。</w:t>
      </w:r>
    </w:p>
    <w:p>
      <w:pPr>
        <w:pStyle w:val="258"/>
        <w:ind w:left="0" w:leftChars="0" w:firstLine="0" w:firstLineChars="0"/>
        <w:rPr>
          <w:rFonts w:hint="eastAsia"/>
          <w:lang w:eastAsia="zh-CN"/>
        </w:rPr>
      </w:pPr>
    </w:p>
    <w:p>
      <w:pPr>
        <w:pStyle w:val="258"/>
        <w:ind w:left="0" w:leftChars="0" w:firstLine="0" w:firstLineChars="0"/>
        <w:rPr>
          <w:rFonts w:hint="eastAsia"/>
        </w:rPr>
        <w:sectPr>
          <w:footerReference r:id="rId3" w:type="default"/>
          <w:footerReference r:id="rId4" w:type="even"/>
          <w:pgSz w:w="11907" w:h="16839"/>
          <w:pgMar w:top="2098" w:right="1474" w:bottom="1984" w:left="1587" w:header="1417" w:footer="1134" w:gutter="0"/>
          <w:pgNumType w:start="1"/>
          <w:cols w:space="425" w:num="1"/>
          <w:docGrid w:type="lines" w:linePitch="312" w:charSpace="0"/>
        </w:sectPr>
      </w:pPr>
      <w:r>
        <w:rPr>
          <w:rFonts w:hint="eastAsia"/>
          <w:lang w:eastAsia="zh-CN"/>
        </w:rPr>
        <w:t>业务咨询电话：市人力资源和社会保障局，0772-2805170。</w:t>
      </w:r>
      <w:bookmarkStart w:id="121" w:name="_GoBack"/>
      <w:bookmarkEnd w:id="121"/>
    </w:p>
    <w:p>
      <w:pPr>
        <w:pStyle w:val="274"/>
        <w:rPr>
          <w:color w:val="auto"/>
        </w:rPr>
      </w:pPr>
      <w:bookmarkStart w:id="101" w:name="_Toc25594"/>
      <w:r>
        <w:rPr>
          <w:color w:val="auto"/>
        </w:rPr>
        <w:br w:type="textWrapping"/>
      </w:r>
      <w:bookmarkStart w:id="102" w:name="_Toc107048377"/>
      <w:bookmarkStart w:id="103" w:name="_Toc107072140"/>
      <w:bookmarkStart w:id="104" w:name="_Toc96693473"/>
      <w:bookmarkStart w:id="105" w:name="_Toc106350597"/>
      <w:bookmarkStart w:id="106" w:name="_Toc106197367"/>
      <w:bookmarkStart w:id="107" w:name="_Toc107048326"/>
      <w:r>
        <w:rPr>
          <w:rFonts w:hint="eastAsia"/>
          <w:color w:val="auto"/>
        </w:rPr>
        <w:t>（资料性）</w:t>
      </w:r>
      <w:r>
        <w:rPr>
          <w:color w:val="auto"/>
        </w:rPr>
        <w:br w:type="textWrapping"/>
      </w:r>
      <w:r>
        <w:rPr>
          <w:rFonts w:hint="eastAsia"/>
          <w:color w:val="auto"/>
        </w:rPr>
        <w:t>灵活就业“全链通办”数据流转示意图</w:t>
      </w:r>
      <w:bookmarkEnd w:id="101"/>
      <w:bookmarkEnd w:id="102"/>
      <w:bookmarkEnd w:id="103"/>
      <w:bookmarkEnd w:id="104"/>
      <w:bookmarkEnd w:id="105"/>
      <w:bookmarkEnd w:id="106"/>
      <w:bookmarkEnd w:id="107"/>
    </w:p>
    <w:p>
      <w:pPr>
        <w:rPr>
          <w:color w:val="auto"/>
        </w:rPr>
      </w:pPr>
      <w:r>
        <w:rPr>
          <w:rFonts w:hint="eastAsia"/>
          <w:color w:val="auto"/>
        </w:rPr>
        <w:t>灵活就业“全链通办”数据流转示意图详见图A.</w:t>
      </w:r>
      <w:r>
        <w:rPr>
          <w:color w:val="auto"/>
        </w:rPr>
        <w:t>1</w:t>
      </w:r>
      <w:r>
        <w:rPr>
          <w:rFonts w:hint="eastAsia"/>
          <w:color w:val="auto"/>
        </w:rPr>
        <w:t>。</w:t>
      </w:r>
    </w:p>
    <w:p>
      <w:pPr>
        <w:rPr>
          <w:color w:val="auto"/>
        </w:rPr>
      </w:pPr>
      <w:r>
        <w:rPr>
          <w:color w:val="auto"/>
        </w:rPr>
        <w:drawing>
          <wp:inline distT="0" distB="0" distL="0" distR="0">
            <wp:extent cx="5941060" cy="5634990"/>
            <wp:effectExtent l="0" t="0" r="2540" b="3810"/>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8">
                      <a:extLst>
                        <a:ext uri="{28A0092B-C50C-407E-A947-70E740481C1C}">
                          <a14:useLocalDpi xmlns:a14="http://schemas.microsoft.com/office/drawing/2010/main" val="false"/>
                        </a:ext>
                      </a:extLst>
                    </a:blip>
                    <a:stretch>
                      <a:fillRect/>
                    </a:stretch>
                  </pic:blipFill>
                  <pic:spPr>
                    <a:xfrm>
                      <a:off x="0" y="0"/>
                      <a:ext cx="5941060" cy="5634990"/>
                    </a:xfrm>
                    <a:prstGeom prst="rect">
                      <a:avLst/>
                    </a:prstGeom>
                  </pic:spPr>
                </pic:pic>
              </a:graphicData>
            </a:graphic>
          </wp:inline>
        </w:drawing>
      </w:r>
    </w:p>
    <w:p>
      <w:pPr>
        <w:widowControl/>
        <w:adjustRightInd w:val="0"/>
        <w:snapToGrid w:val="0"/>
        <w:jc w:val="left"/>
        <w:rPr>
          <w:color w:val="auto"/>
        </w:rPr>
      </w:pPr>
      <w:r>
        <w:rPr>
          <w:rFonts w:hint="eastAsia" w:ascii="黑体" w:hAnsi="黑体" w:eastAsia="黑体" w:cs="黑体"/>
          <w:b/>
          <w:bCs/>
          <w:color w:val="auto"/>
          <w:kern w:val="0"/>
          <w:sz w:val="18"/>
          <w:szCs w:val="18"/>
          <w:lang w:bidi="ar"/>
        </w:rPr>
        <w:t>注</w:t>
      </w:r>
      <w:r>
        <w:rPr>
          <w:rFonts w:hint="eastAsia" w:ascii="黑体" w:hAnsi="黑体" w:eastAsia="黑体" w:cs="黑体"/>
          <w:color w:val="auto"/>
          <w:kern w:val="0"/>
          <w:sz w:val="18"/>
          <w:szCs w:val="18"/>
          <w:lang w:bidi="ar"/>
        </w:rPr>
        <w:t>：</w:t>
      </w:r>
      <w:r>
        <w:rPr>
          <w:rFonts w:ascii="宋体" w:hAnsi="宋体" w:cs="宋体"/>
          <w:color w:val="auto"/>
          <w:kern w:val="0"/>
          <w:sz w:val="18"/>
          <w:szCs w:val="18"/>
          <w:lang w:bidi="ar"/>
        </w:rPr>
        <w:t>虚线箭头代表必要时数据流动，实线箭头代表业务数据流动。</w:t>
      </w:r>
    </w:p>
    <w:p>
      <w:pPr>
        <w:pStyle w:val="281"/>
        <w:spacing w:before="156" w:after="156"/>
        <w:rPr>
          <w:color w:val="auto"/>
        </w:rPr>
      </w:pPr>
      <w:r>
        <w:rPr>
          <w:rFonts w:hint="eastAsia"/>
          <w:color w:val="auto"/>
        </w:rPr>
        <w:t>灵活就业“全链通办”数据流转示意图</w:t>
      </w:r>
    </w:p>
    <w:p>
      <w:pPr>
        <w:rPr>
          <w:color w:val="auto"/>
        </w:rPr>
      </w:pPr>
    </w:p>
    <w:p>
      <w:pPr>
        <w:pStyle w:val="347"/>
        <w:rPr>
          <w:color w:val="auto"/>
        </w:rPr>
      </w:pPr>
      <w:bookmarkStart w:id="108" w:name="_Toc11565"/>
    </w:p>
    <w:p>
      <w:pPr>
        <w:pStyle w:val="348"/>
        <w:rPr>
          <w:color w:val="auto"/>
        </w:rPr>
      </w:pPr>
    </w:p>
    <w:p>
      <w:pPr>
        <w:pStyle w:val="274"/>
        <w:rPr>
          <w:color w:val="auto"/>
        </w:rPr>
      </w:pPr>
      <w:r>
        <w:rPr>
          <w:color w:val="auto"/>
        </w:rPr>
        <w:br w:type="textWrapping"/>
      </w:r>
      <w:bookmarkStart w:id="109" w:name="_Toc107048327"/>
      <w:bookmarkStart w:id="110" w:name="_Toc106350598"/>
      <w:bookmarkStart w:id="111" w:name="_Toc107072141"/>
      <w:bookmarkStart w:id="112" w:name="_Toc107048378"/>
      <w:bookmarkStart w:id="113" w:name="_Toc106197368"/>
      <w:r>
        <w:rPr>
          <w:rFonts w:hint="eastAsia"/>
          <w:color w:val="auto"/>
        </w:rPr>
        <w:t>（规范性）</w:t>
      </w:r>
      <w:r>
        <w:rPr>
          <w:color w:val="auto"/>
        </w:rPr>
        <w:br w:type="textWrapping"/>
      </w:r>
      <w:r>
        <w:rPr>
          <w:rFonts w:hint="eastAsia"/>
          <w:color w:val="auto"/>
        </w:rPr>
        <w:t>灵活就业“全链通办”申请表</w:t>
      </w:r>
      <w:bookmarkEnd w:id="108"/>
      <w:bookmarkEnd w:id="109"/>
      <w:bookmarkEnd w:id="110"/>
      <w:bookmarkEnd w:id="111"/>
      <w:bookmarkEnd w:id="112"/>
      <w:bookmarkEnd w:id="113"/>
    </w:p>
    <w:p>
      <w:pPr>
        <w:rPr>
          <w:color w:val="auto"/>
        </w:rPr>
      </w:pPr>
      <w:r>
        <w:rPr>
          <w:rFonts w:hint="eastAsia"/>
          <w:color w:val="auto"/>
        </w:rPr>
        <w:t>灵活就业“全链通办”申请表详见表</w:t>
      </w:r>
      <w:r>
        <w:rPr>
          <w:color w:val="auto"/>
        </w:rPr>
        <w:t>B.1</w:t>
      </w:r>
      <w:r>
        <w:rPr>
          <w:rFonts w:hint="eastAsia"/>
          <w:color w:val="auto"/>
        </w:rPr>
        <w:t>。</w:t>
      </w:r>
    </w:p>
    <w:p>
      <w:pPr>
        <w:pStyle w:val="275"/>
        <w:spacing w:before="156" w:after="156"/>
        <w:rPr>
          <w:color w:val="auto"/>
        </w:rPr>
      </w:pPr>
      <w:r>
        <w:rPr>
          <w:color w:val="auto"/>
        </w:rPr>
        <w:t>灵活就业</w:t>
      </w:r>
      <w:r>
        <w:rPr>
          <w:rFonts w:hint="eastAsia"/>
          <w:color w:val="auto"/>
        </w:rPr>
        <w:t>“</w:t>
      </w:r>
      <w:r>
        <w:rPr>
          <w:color w:val="auto"/>
        </w:rPr>
        <w:t>全链通办</w:t>
      </w:r>
      <w:r>
        <w:rPr>
          <w:rFonts w:hint="eastAsia"/>
          <w:color w:val="auto"/>
        </w:rPr>
        <w:t>”</w:t>
      </w:r>
      <w:r>
        <w:rPr>
          <w:color w:val="auto"/>
        </w:rPr>
        <w:t>申请表</w:t>
      </w:r>
    </w:p>
    <w:tbl>
      <w:tblPr>
        <w:tblStyle w:val="88"/>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7"/>
        <w:gridCol w:w="1380"/>
        <w:gridCol w:w="1105"/>
        <w:gridCol w:w="1365"/>
        <w:gridCol w:w="1018"/>
        <w:gridCol w:w="1585"/>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7" w:type="dxa"/>
            <w:vMerge w:val="restart"/>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基本信息</w:t>
            </w:r>
          </w:p>
        </w:tc>
        <w:tc>
          <w:tcPr>
            <w:tcW w:w="1380"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姓名</w:t>
            </w:r>
          </w:p>
        </w:tc>
        <w:tc>
          <w:tcPr>
            <w:tcW w:w="1105" w:type="dxa"/>
            <w:shd w:val="clear" w:color="auto" w:fill="auto"/>
            <w:vAlign w:val="center"/>
          </w:tcPr>
          <w:p>
            <w:pPr>
              <w:widowControl/>
              <w:adjustRightInd w:val="0"/>
              <w:snapToGrid w:val="0"/>
              <w:jc w:val="center"/>
              <w:rPr>
                <w:rFonts w:ascii="宋体" w:hAnsi="宋体" w:cs="宋体"/>
                <w:color w:val="auto"/>
                <w:kern w:val="0"/>
                <w:sz w:val="18"/>
                <w:szCs w:val="18"/>
              </w:rPr>
            </w:pPr>
          </w:p>
        </w:tc>
        <w:tc>
          <w:tcPr>
            <w:tcW w:w="1365"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性别</w:t>
            </w:r>
          </w:p>
        </w:tc>
        <w:tc>
          <w:tcPr>
            <w:tcW w:w="1018" w:type="dxa"/>
            <w:shd w:val="clear" w:color="auto" w:fill="auto"/>
            <w:vAlign w:val="center"/>
          </w:tcPr>
          <w:p>
            <w:pPr>
              <w:widowControl/>
              <w:adjustRightInd w:val="0"/>
              <w:snapToGrid w:val="0"/>
              <w:jc w:val="center"/>
              <w:rPr>
                <w:rFonts w:ascii="宋体" w:hAnsi="宋体" w:cs="宋体"/>
                <w:color w:val="auto"/>
                <w:kern w:val="0"/>
                <w:sz w:val="18"/>
                <w:szCs w:val="18"/>
              </w:rPr>
            </w:pPr>
          </w:p>
        </w:tc>
        <w:tc>
          <w:tcPr>
            <w:tcW w:w="1585"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出生年月</w:t>
            </w:r>
          </w:p>
        </w:tc>
        <w:tc>
          <w:tcPr>
            <w:tcW w:w="1716" w:type="dxa"/>
            <w:shd w:val="clear" w:color="auto" w:fill="auto"/>
            <w:vAlign w:val="center"/>
          </w:tcPr>
          <w:p>
            <w:pPr>
              <w:widowControl/>
              <w:adjustRightInd w:val="0"/>
              <w:snapToGrid w:val="0"/>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7" w:type="dxa"/>
            <w:vMerge w:val="continue"/>
            <w:vAlign w:val="center"/>
          </w:tcPr>
          <w:p>
            <w:pPr>
              <w:widowControl/>
              <w:adjustRightInd w:val="0"/>
              <w:snapToGrid w:val="0"/>
              <w:jc w:val="left"/>
              <w:rPr>
                <w:rFonts w:ascii="宋体" w:hAnsi="宋体" w:cs="宋体"/>
                <w:color w:val="auto"/>
                <w:kern w:val="0"/>
                <w:sz w:val="18"/>
                <w:szCs w:val="18"/>
              </w:rPr>
            </w:pPr>
          </w:p>
        </w:tc>
        <w:tc>
          <w:tcPr>
            <w:tcW w:w="1380"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身份证号码</w:t>
            </w:r>
          </w:p>
        </w:tc>
        <w:tc>
          <w:tcPr>
            <w:tcW w:w="1105" w:type="dxa"/>
            <w:shd w:val="clear" w:color="auto" w:fill="auto"/>
            <w:vAlign w:val="center"/>
          </w:tcPr>
          <w:p>
            <w:pPr>
              <w:widowControl/>
              <w:adjustRightInd w:val="0"/>
              <w:snapToGrid w:val="0"/>
              <w:jc w:val="center"/>
              <w:rPr>
                <w:rFonts w:ascii="宋体" w:hAnsi="宋体" w:cs="宋体"/>
                <w:color w:val="auto"/>
                <w:kern w:val="0"/>
                <w:sz w:val="18"/>
                <w:szCs w:val="18"/>
              </w:rPr>
            </w:pPr>
          </w:p>
        </w:tc>
        <w:tc>
          <w:tcPr>
            <w:tcW w:w="1365"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民族</w:t>
            </w:r>
          </w:p>
        </w:tc>
        <w:tc>
          <w:tcPr>
            <w:tcW w:w="1018" w:type="dxa"/>
            <w:shd w:val="clear" w:color="auto" w:fill="auto"/>
            <w:vAlign w:val="center"/>
          </w:tcPr>
          <w:p>
            <w:pPr>
              <w:widowControl/>
              <w:adjustRightInd w:val="0"/>
              <w:snapToGrid w:val="0"/>
              <w:jc w:val="center"/>
              <w:rPr>
                <w:rFonts w:ascii="宋体" w:hAnsi="宋体" w:cs="宋体"/>
                <w:color w:val="auto"/>
                <w:kern w:val="0"/>
                <w:sz w:val="18"/>
                <w:szCs w:val="18"/>
              </w:rPr>
            </w:pPr>
          </w:p>
        </w:tc>
        <w:tc>
          <w:tcPr>
            <w:tcW w:w="1585"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联系电话</w:t>
            </w:r>
          </w:p>
        </w:tc>
        <w:tc>
          <w:tcPr>
            <w:tcW w:w="1716" w:type="dxa"/>
            <w:shd w:val="clear" w:color="auto" w:fill="auto"/>
            <w:vAlign w:val="center"/>
          </w:tcPr>
          <w:p>
            <w:pPr>
              <w:widowControl/>
              <w:adjustRightInd w:val="0"/>
              <w:snapToGrid w:val="0"/>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7" w:type="dxa"/>
            <w:vMerge w:val="continue"/>
            <w:vAlign w:val="center"/>
          </w:tcPr>
          <w:p>
            <w:pPr>
              <w:widowControl/>
              <w:adjustRightInd w:val="0"/>
              <w:snapToGrid w:val="0"/>
              <w:jc w:val="left"/>
              <w:rPr>
                <w:rFonts w:ascii="宋体" w:hAnsi="宋体" w:cs="宋体"/>
                <w:color w:val="auto"/>
                <w:kern w:val="0"/>
                <w:sz w:val="18"/>
                <w:szCs w:val="18"/>
              </w:rPr>
            </w:pPr>
          </w:p>
        </w:tc>
        <w:tc>
          <w:tcPr>
            <w:tcW w:w="1380"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学历</w:t>
            </w:r>
          </w:p>
        </w:tc>
        <w:tc>
          <w:tcPr>
            <w:tcW w:w="1105" w:type="dxa"/>
            <w:shd w:val="clear" w:color="auto" w:fill="auto"/>
            <w:vAlign w:val="center"/>
          </w:tcPr>
          <w:p>
            <w:pPr>
              <w:widowControl/>
              <w:adjustRightInd w:val="0"/>
              <w:snapToGrid w:val="0"/>
              <w:jc w:val="center"/>
              <w:rPr>
                <w:rFonts w:ascii="宋体" w:hAnsi="宋体" w:cs="宋体"/>
                <w:color w:val="auto"/>
                <w:kern w:val="0"/>
                <w:sz w:val="18"/>
                <w:szCs w:val="18"/>
              </w:rPr>
            </w:pPr>
          </w:p>
        </w:tc>
        <w:tc>
          <w:tcPr>
            <w:tcW w:w="1365"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婚姻状况</w:t>
            </w:r>
          </w:p>
        </w:tc>
        <w:tc>
          <w:tcPr>
            <w:tcW w:w="1018" w:type="dxa"/>
            <w:shd w:val="clear" w:color="auto" w:fill="auto"/>
            <w:vAlign w:val="center"/>
          </w:tcPr>
          <w:p>
            <w:pPr>
              <w:widowControl/>
              <w:adjustRightInd w:val="0"/>
              <w:snapToGrid w:val="0"/>
              <w:jc w:val="center"/>
              <w:rPr>
                <w:rFonts w:ascii="宋体" w:hAnsi="宋体" w:cs="宋体"/>
                <w:color w:val="auto"/>
                <w:kern w:val="0"/>
                <w:sz w:val="18"/>
                <w:szCs w:val="18"/>
              </w:rPr>
            </w:pPr>
          </w:p>
        </w:tc>
        <w:tc>
          <w:tcPr>
            <w:tcW w:w="1585"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毕业院校及时间</w:t>
            </w:r>
          </w:p>
        </w:tc>
        <w:tc>
          <w:tcPr>
            <w:tcW w:w="1716" w:type="dxa"/>
            <w:shd w:val="clear" w:color="auto" w:fill="auto"/>
            <w:vAlign w:val="center"/>
          </w:tcPr>
          <w:p>
            <w:pPr>
              <w:widowControl/>
              <w:adjustRightInd w:val="0"/>
              <w:snapToGrid w:val="0"/>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7" w:type="dxa"/>
            <w:vMerge w:val="continue"/>
            <w:vAlign w:val="center"/>
          </w:tcPr>
          <w:p>
            <w:pPr>
              <w:widowControl/>
              <w:adjustRightInd w:val="0"/>
              <w:snapToGrid w:val="0"/>
              <w:jc w:val="left"/>
              <w:rPr>
                <w:rFonts w:ascii="宋体" w:hAnsi="宋体" w:cs="宋体"/>
                <w:color w:val="auto"/>
                <w:kern w:val="0"/>
                <w:sz w:val="18"/>
                <w:szCs w:val="18"/>
              </w:rPr>
            </w:pPr>
          </w:p>
        </w:tc>
        <w:tc>
          <w:tcPr>
            <w:tcW w:w="1380"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户籍地址</w:t>
            </w:r>
          </w:p>
        </w:tc>
        <w:tc>
          <w:tcPr>
            <w:tcW w:w="2470" w:type="dxa"/>
            <w:gridSpan w:val="2"/>
            <w:shd w:val="clear" w:color="auto" w:fill="auto"/>
            <w:vAlign w:val="center"/>
          </w:tcPr>
          <w:p>
            <w:pPr>
              <w:widowControl/>
              <w:adjustRightInd w:val="0"/>
              <w:snapToGrid w:val="0"/>
              <w:jc w:val="center"/>
              <w:rPr>
                <w:rFonts w:ascii="宋体" w:hAnsi="宋体" w:cs="宋体"/>
                <w:color w:val="auto"/>
                <w:kern w:val="0"/>
                <w:sz w:val="18"/>
                <w:szCs w:val="18"/>
              </w:rPr>
            </w:pPr>
          </w:p>
        </w:tc>
        <w:tc>
          <w:tcPr>
            <w:tcW w:w="1018"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常住地址</w:t>
            </w:r>
          </w:p>
        </w:tc>
        <w:tc>
          <w:tcPr>
            <w:tcW w:w="3301" w:type="dxa"/>
            <w:gridSpan w:val="2"/>
            <w:shd w:val="clear" w:color="auto" w:fill="auto"/>
            <w:vAlign w:val="center"/>
          </w:tcPr>
          <w:p>
            <w:pPr>
              <w:widowControl/>
              <w:adjustRightInd w:val="0"/>
              <w:snapToGrid w:val="0"/>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607"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办理事项</w:t>
            </w:r>
          </w:p>
        </w:tc>
        <w:tc>
          <w:tcPr>
            <w:tcW w:w="8169" w:type="dxa"/>
            <w:gridSpan w:val="6"/>
            <w:shd w:val="clear" w:color="auto" w:fill="auto"/>
            <w:vAlign w:val="center"/>
          </w:tcPr>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w:t>
            </w:r>
            <w:r>
              <w:rPr>
                <w:rFonts w:ascii="宋体" w:hAnsi="宋体" w:cs="宋体"/>
                <w:color w:val="auto"/>
                <w:kern w:val="0"/>
                <w:sz w:val="18"/>
                <w:szCs w:val="18"/>
              </w:rPr>
              <w:t>就业登记</w:t>
            </w:r>
            <w:r>
              <w:rPr>
                <w:rFonts w:hint="eastAsia" w:ascii="Wingdings" w:hAnsi="Wingdings" w:cs="宋体"/>
                <w:color w:val="auto"/>
                <w:kern w:val="0"/>
                <w:sz w:val="18"/>
                <w:szCs w:val="18"/>
              </w:rPr>
              <w:t xml:space="preserve"> </w:t>
            </w:r>
            <w:r>
              <w:rPr>
                <w:rFonts w:ascii="Wingdings" w:hAnsi="Wingdings" w:cs="宋体"/>
                <w:color w:val="auto"/>
                <w:kern w:val="0"/>
                <w:sz w:val="18"/>
                <w:szCs w:val="18"/>
              </w:rPr>
              <w:t xml:space="preserve"> </w:t>
            </w:r>
            <w:r>
              <w:rPr>
                <w:rFonts w:hint="eastAsia" w:ascii="宋体" w:hAnsi="宋体" w:cs="宋体"/>
                <w:color w:val="auto"/>
                <w:kern w:val="0"/>
                <w:sz w:val="18"/>
                <w:szCs w:val="18"/>
              </w:rPr>
              <w:t>□</w:t>
            </w:r>
            <w:r>
              <w:rPr>
                <w:rFonts w:ascii="宋体" w:hAnsi="宋体" w:cs="宋体"/>
                <w:color w:val="auto"/>
                <w:kern w:val="0"/>
                <w:sz w:val="18"/>
                <w:szCs w:val="18"/>
              </w:rPr>
              <w:t>档案的接收和转递（流动人员）</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w:t>
            </w:r>
            <w:r>
              <w:rPr>
                <w:rFonts w:ascii="宋体" w:hAnsi="宋体" w:cs="宋体"/>
                <w:color w:val="auto"/>
                <w:kern w:val="0"/>
                <w:sz w:val="18"/>
                <w:szCs w:val="18"/>
              </w:rPr>
              <w:t>灵活就业</w:t>
            </w:r>
            <w:r>
              <w:rPr>
                <w:rFonts w:hint="eastAsia" w:ascii="宋体" w:hAnsi="宋体" w:cs="宋体"/>
                <w:color w:val="auto"/>
                <w:kern w:val="0"/>
                <w:sz w:val="18"/>
                <w:szCs w:val="18"/>
              </w:rPr>
              <w:t xml:space="preserve">人员参保登记           </w:t>
            </w:r>
          </w:p>
          <w:p>
            <w:pPr>
              <w:widowControl/>
              <w:adjustRightInd w:val="0"/>
              <w:snapToGrid w:val="0"/>
              <w:jc w:val="left"/>
              <w:rPr>
                <w:rFonts w:hint="eastAsia" w:ascii="Wingdings" w:hAnsi="Wingdings" w:cs="宋体"/>
                <w:color w:val="auto"/>
                <w:kern w:val="0"/>
                <w:sz w:val="18"/>
                <w:szCs w:val="18"/>
              </w:rPr>
            </w:pPr>
            <w:r>
              <w:rPr>
                <w:rFonts w:hint="eastAsia" w:ascii="宋体" w:hAnsi="宋体" w:cs="宋体"/>
                <w:color w:val="auto"/>
                <w:kern w:val="0"/>
                <w:sz w:val="18"/>
                <w:szCs w:val="18"/>
              </w:rPr>
              <w:t>□</w:t>
            </w:r>
            <w:r>
              <w:rPr>
                <w:rFonts w:ascii="宋体" w:hAnsi="宋体" w:cs="宋体"/>
                <w:color w:val="auto"/>
                <w:kern w:val="0"/>
                <w:sz w:val="18"/>
                <w:szCs w:val="18"/>
              </w:rPr>
              <w:t>基本医疗保险参保和变更登记</w:t>
            </w:r>
            <w:r>
              <w:rPr>
                <w:rFonts w:hint="eastAsia" w:ascii="Wingdings" w:hAnsi="Wingdings" w:cs="宋体"/>
                <w:color w:val="auto"/>
                <w:kern w:val="0"/>
                <w:sz w:val="18"/>
                <w:szCs w:val="18"/>
              </w:rPr>
              <w:t xml:space="preserve"> </w:t>
            </w:r>
            <w:r>
              <w:rPr>
                <w:rFonts w:ascii="Wingdings" w:hAnsi="Wingdings" w:cs="宋体"/>
                <w:color w:val="auto"/>
                <w:kern w:val="0"/>
                <w:sz w:val="18"/>
                <w:szCs w:val="18"/>
              </w:rPr>
              <w:t xml:space="preserve"> </w:t>
            </w:r>
            <w:r>
              <w:rPr>
                <w:rFonts w:hint="eastAsia" w:ascii="宋体" w:hAnsi="宋体" w:cs="宋体"/>
                <w:color w:val="auto"/>
                <w:kern w:val="0"/>
                <w:sz w:val="18"/>
                <w:szCs w:val="18"/>
              </w:rPr>
              <w:t>□</w:t>
            </w:r>
            <w:r>
              <w:rPr>
                <w:rFonts w:ascii="宋体" w:hAnsi="宋体" w:cs="宋体"/>
                <w:color w:val="auto"/>
                <w:kern w:val="0"/>
                <w:sz w:val="18"/>
                <w:szCs w:val="18"/>
              </w:rPr>
              <w:t>灵活就业人员社会保险费申报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1607" w:type="dxa"/>
            <w:vMerge w:val="restart"/>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就业登记</w:t>
            </w:r>
          </w:p>
        </w:tc>
        <w:tc>
          <w:tcPr>
            <w:tcW w:w="8169" w:type="dxa"/>
            <w:gridSpan w:val="6"/>
            <w:shd w:val="clear" w:color="auto" w:fill="auto"/>
            <w:vAlign w:val="center"/>
          </w:tcPr>
          <w:p>
            <w:pPr>
              <w:widowControl/>
              <w:adjustRightInd w:val="0"/>
              <w:snapToGrid w:val="0"/>
              <w:rPr>
                <w:rFonts w:ascii="宋体" w:hAnsi="宋体" w:cs="宋体"/>
                <w:color w:val="auto"/>
                <w:kern w:val="0"/>
                <w:sz w:val="18"/>
                <w:szCs w:val="18"/>
              </w:rPr>
            </w:pPr>
            <w:r>
              <w:rPr>
                <w:rFonts w:hint="eastAsia" w:ascii="宋体" w:hAnsi="宋体" w:cs="宋体"/>
                <w:color w:val="auto"/>
                <w:kern w:val="0"/>
                <w:sz w:val="18"/>
                <w:szCs w:val="18"/>
              </w:rPr>
              <w:t>人员类别：</w:t>
            </w:r>
          </w:p>
          <w:p>
            <w:pPr>
              <w:widowControl/>
              <w:adjustRightInd w:val="0"/>
              <w:snapToGrid w:val="0"/>
              <w:rPr>
                <w:rFonts w:ascii="宋体" w:hAnsi="宋体" w:cs="宋体"/>
                <w:color w:val="auto"/>
                <w:kern w:val="0"/>
                <w:sz w:val="18"/>
                <w:szCs w:val="18"/>
              </w:rPr>
            </w:pPr>
            <w:r>
              <w:rPr>
                <w:rFonts w:hint="eastAsia" w:ascii="宋体" w:hAnsi="宋体" w:cs="宋体"/>
                <w:color w:val="auto"/>
                <w:kern w:val="0"/>
                <w:sz w:val="18"/>
                <w:szCs w:val="18"/>
              </w:rPr>
              <w:t>□高校毕业生</w:t>
            </w:r>
            <w:r>
              <w:rPr>
                <w:rFonts w:ascii="Wingdings" w:hAnsi="Wingdings" w:cs="宋体"/>
                <w:color w:val="auto"/>
                <w:kern w:val="0"/>
                <w:sz w:val="18"/>
                <w:szCs w:val="18"/>
              </w:rPr>
              <w:t xml:space="preserve">  </w:t>
            </w:r>
            <w:r>
              <w:rPr>
                <w:rFonts w:ascii="宋体" w:hAnsi="宋体" w:cs="宋体"/>
                <w:color w:val="auto"/>
                <w:kern w:val="0"/>
                <w:sz w:val="18"/>
                <w:szCs w:val="18"/>
              </w:rPr>
              <w:t>□残疾人员</w:t>
            </w:r>
            <w:r>
              <w:rPr>
                <w:rFonts w:ascii="Wingdings" w:hAnsi="Wingdings" w:cs="宋体"/>
                <w:color w:val="auto"/>
                <w:kern w:val="0"/>
                <w:sz w:val="18"/>
                <w:szCs w:val="18"/>
              </w:rPr>
              <w:t xml:space="preserve"> </w:t>
            </w:r>
            <w:r>
              <w:rPr>
                <w:rFonts w:ascii="宋体" w:hAnsi="宋体" w:cs="宋体"/>
                <w:color w:val="auto"/>
                <w:kern w:val="0"/>
                <w:sz w:val="18"/>
                <w:szCs w:val="18"/>
              </w:rPr>
              <w:t>□4050人员</w:t>
            </w:r>
            <w:r>
              <w:rPr>
                <w:rFonts w:ascii="Wingdings" w:hAnsi="Wingdings" w:cs="宋体"/>
                <w:color w:val="auto"/>
                <w:kern w:val="0"/>
                <w:sz w:val="18"/>
                <w:szCs w:val="18"/>
              </w:rPr>
              <w:t xml:space="preserve"> </w:t>
            </w:r>
            <w:r>
              <w:rPr>
                <w:rFonts w:ascii="宋体" w:hAnsi="宋体" w:cs="宋体"/>
                <w:color w:val="auto"/>
                <w:kern w:val="0"/>
                <w:sz w:val="18"/>
                <w:szCs w:val="18"/>
              </w:rPr>
              <w:t>□零就业家庭人员</w:t>
            </w:r>
            <w:r>
              <w:rPr>
                <w:rFonts w:ascii="Wingdings" w:hAnsi="Wingdings" w:cs="宋体"/>
                <w:color w:val="auto"/>
                <w:kern w:val="0"/>
                <w:sz w:val="18"/>
                <w:szCs w:val="18"/>
              </w:rPr>
              <w:t xml:space="preserve"> </w:t>
            </w:r>
            <w:r>
              <w:rPr>
                <w:rFonts w:ascii="宋体" w:hAnsi="宋体" w:cs="宋体"/>
                <w:color w:val="auto"/>
                <w:kern w:val="0"/>
                <w:sz w:val="18"/>
                <w:szCs w:val="18"/>
              </w:rPr>
              <w:sym w:font="Wingdings 2" w:char="00A3"/>
            </w:r>
            <w:r>
              <w:rPr>
                <w:rFonts w:ascii="宋体" w:hAnsi="宋体" w:cs="宋体"/>
                <w:color w:val="auto"/>
                <w:kern w:val="0"/>
                <w:sz w:val="18"/>
                <w:szCs w:val="18"/>
              </w:rPr>
              <w:t>城市低保家庭人员</w:t>
            </w:r>
            <w:r>
              <w:rPr>
                <w:rFonts w:ascii="Wingdings" w:hAnsi="Wingdings" w:cs="宋体"/>
                <w:color w:val="auto"/>
                <w:kern w:val="0"/>
                <w:sz w:val="18"/>
                <w:szCs w:val="18"/>
              </w:rPr>
              <w:t xml:space="preserve"> </w:t>
            </w:r>
            <w:r>
              <w:rPr>
                <w:rFonts w:ascii="Wingdings" w:hAnsi="Wingdings" w:cs="宋体"/>
                <w:color w:val="auto"/>
                <w:kern w:val="0"/>
                <w:sz w:val="18"/>
                <w:szCs w:val="18"/>
              </w:rPr>
              <w:br w:type="textWrapping"/>
            </w:r>
            <w:r>
              <w:rPr>
                <w:rFonts w:ascii="宋体" w:hAnsi="宋体" w:cs="宋体"/>
                <w:color w:val="auto"/>
                <w:kern w:val="0"/>
                <w:sz w:val="18"/>
                <w:szCs w:val="18"/>
              </w:rPr>
              <w:t xml:space="preserve">□登记失业连续12个月以上的人员    □因失地失海或重大自然灾害失业人员 </w:t>
            </w:r>
            <w:r>
              <w:rPr>
                <w:rFonts w:ascii="Wingdings" w:hAnsi="Wingdings" w:cs="宋体"/>
                <w:color w:val="auto"/>
                <w:kern w:val="0"/>
                <w:sz w:val="18"/>
                <w:szCs w:val="18"/>
              </w:rPr>
              <w:t xml:space="preserve">  </w:t>
            </w:r>
          </w:p>
          <w:p>
            <w:pPr>
              <w:widowControl/>
              <w:adjustRightInd w:val="0"/>
              <w:snapToGrid w:val="0"/>
              <w:rPr>
                <w:rFonts w:ascii="宋体" w:hAnsi="宋体" w:cs="宋体"/>
                <w:color w:val="auto"/>
                <w:kern w:val="0"/>
                <w:sz w:val="18"/>
                <w:szCs w:val="18"/>
              </w:rPr>
            </w:pPr>
            <w:r>
              <w:rPr>
                <w:rFonts w:hint="eastAsia" w:ascii="宋体" w:hAnsi="宋体" w:cs="宋体"/>
                <w:color w:val="auto"/>
                <w:kern w:val="0"/>
                <w:sz w:val="18"/>
                <w:szCs w:val="18"/>
              </w:rPr>
              <w:t>□建档立卡贫困户</w:t>
            </w:r>
            <w:r>
              <w:rPr>
                <w:rFonts w:ascii="Wingdings" w:hAnsi="Wingdings" w:cs="宋体"/>
                <w:color w:val="auto"/>
                <w:kern w:val="0"/>
                <w:sz w:val="18"/>
                <w:szCs w:val="18"/>
              </w:rPr>
              <w:t xml:space="preserve"> </w:t>
            </w:r>
            <w:r>
              <w:rPr>
                <w:rFonts w:ascii="宋体" w:hAnsi="宋体" w:cs="宋体"/>
                <w:color w:val="auto"/>
                <w:kern w:val="0"/>
                <w:sz w:val="18"/>
                <w:szCs w:val="18"/>
              </w:rPr>
              <w:t>□去产能企业职工</w:t>
            </w:r>
            <w:r>
              <w:rPr>
                <w:rFonts w:hint="eastAsia" w:ascii="宋体" w:hAnsi="宋体" w:cs="宋体"/>
                <w:color w:val="auto"/>
                <w:kern w:val="0"/>
                <w:sz w:val="18"/>
                <w:szCs w:val="18"/>
              </w:rPr>
              <w:t xml:space="preserve">  </w:t>
            </w:r>
            <w:r>
              <w:rPr>
                <w:rFonts w:ascii="宋体" w:hAnsi="宋体" w:cs="宋体"/>
                <w:color w:val="auto"/>
                <w:kern w:val="0"/>
                <w:sz w:val="18"/>
                <w:szCs w:val="18"/>
              </w:rPr>
              <w:t>□复员退伍军人</w:t>
            </w:r>
            <w:r>
              <w:rPr>
                <w:rFonts w:ascii="Wingdings" w:hAnsi="Wingdings" w:cs="宋体"/>
                <w:color w:val="auto"/>
                <w:kern w:val="0"/>
                <w:sz w:val="18"/>
                <w:szCs w:val="18"/>
              </w:rPr>
              <w:t xml:space="preserve"> </w:t>
            </w:r>
            <w:r>
              <w:rPr>
                <w:rFonts w:ascii="宋体" w:hAnsi="宋体" w:cs="宋体"/>
                <w:color w:val="auto"/>
                <w:kern w:val="0"/>
                <w:sz w:val="18"/>
                <w:szCs w:val="18"/>
              </w:rPr>
              <w:t>□刑满释放或戒毒康复人员</w:t>
            </w:r>
            <w:r>
              <w:rPr>
                <w:rFonts w:ascii="Wingdings" w:hAnsi="Wingdings" w:cs="宋体"/>
                <w:color w:val="auto"/>
                <w:kern w:val="0"/>
                <w:sz w:val="18"/>
                <w:szCs w:val="18"/>
              </w:rPr>
              <w:t xml:space="preserve"> </w:t>
            </w:r>
            <w:r>
              <w:rPr>
                <w:rFonts w:ascii="Wingdings" w:hAnsi="Wingdings" w:cs="宋体"/>
                <w:color w:val="auto"/>
                <w:kern w:val="0"/>
                <w:sz w:val="18"/>
                <w:szCs w:val="18"/>
              </w:rPr>
              <w:br w:type="textWrapping"/>
            </w:r>
            <w:r>
              <w:rPr>
                <w:rFonts w:ascii="宋体" w:hAnsi="宋体" w:cs="宋体"/>
                <w:color w:val="auto"/>
                <w:kern w:val="0"/>
                <w:sz w:val="18"/>
                <w:szCs w:val="18"/>
              </w:rPr>
              <w:t>□初高中毕业生</w:t>
            </w:r>
            <w:r>
              <w:rPr>
                <w:rFonts w:ascii="Wingdings" w:hAnsi="Wingdings" w:cs="宋体"/>
                <w:color w:val="auto"/>
                <w:kern w:val="0"/>
                <w:sz w:val="18"/>
                <w:szCs w:val="18"/>
              </w:rPr>
              <w:t xml:space="preserve">  </w:t>
            </w:r>
            <w:r>
              <w:rPr>
                <w:rFonts w:ascii="宋体" w:hAnsi="宋体" w:cs="宋体"/>
                <w:color w:val="auto"/>
                <w:kern w:val="0"/>
                <w:sz w:val="18"/>
                <w:szCs w:val="18"/>
              </w:rPr>
              <w:t>□农民工</w:t>
            </w:r>
            <w:r>
              <w:rPr>
                <w:rFonts w:ascii="Wingdings" w:hAnsi="Wingdings" w:cs="宋体"/>
                <w:color w:val="auto"/>
                <w:kern w:val="0"/>
                <w:sz w:val="18"/>
                <w:szCs w:val="18"/>
              </w:rPr>
              <w:t xml:space="preserve">     </w:t>
            </w:r>
            <w:r>
              <w:rPr>
                <w:rFonts w:ascii="宋体" w:hAnsi="宋体" w:cs="宋体"/>
                <w:color w:val="auto"/>
                <w:kern w:val="0"/>
                <w:sz w:val="18"/>
                <w:szCs w:val="18"/>
              </w:rPr>
              <w:t>□其他</w:t>
            </w:r>
            <w:r>
              <w:rPr>
                <w:rFonts w:ascii="Wingdings" w:hAnsi="Wingdings" w:cs="宋体"/>
                <w:color w:val="auto"/>
                <w:kern w:val="0"/>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7" w:type="dxa"/>
            <w:vMerge w:val="continue"/>
            <w:vAlign w:val="center"/>
          </w:tcPr>
          <w:p>
            <w:pPr>
              <w:widowControl/>
              <w:adjustRightInd w:val="0"/>
              <w:snapToGrid w:val="0"/>
              <w:jc w:val="left"/>
              <w:rPr>
                <w:rFonts w:ascii="宋体" w:hAnsi="宋体" w:cs="宋体"/>
                <w:color w:val="auto"/>
                <w:kern w:val="0"/>
                <w:sz w:val="18"/>
                <w:szCs w:val="18"/>
              </w:rPr>
            </w:pPr>
          </w:p>
        </w:tc>
        <w:tc>
          <w:tcPr>
            <w:tcW w:w="8169" w:type="dxa"/>
            <w:gridSpan w:val="6"/>
            <w:shd w:val="clear" w:color="auto" w:fill="auto"/>
            <w:vAlign w:val="center"/>
          </w:tcPr>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就业单位名称：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07" w:type="dxa"/>
            <w:vMerge w:val="continue"/>
            <w:vAlign w:val="center"/>
          </w:tcPr>
          <w:p>
            <w:pPr>
              <w:widowControl/>
              <w:adjustRightInd w:val="0"/>
              <w:snapToGrid w:val="0"/>
              <w:jc w:val="left"/>
              <w:rPr>
                <w:rFonts w:ascii="宋体" w:hAnsi="宋体" w:cs="宋体"/>
                <w:color w:val="auto"/>
                <w:kern w:val="0"/>
                <w:sz w:val="18"/>
                <w:szCs w:val="18"/>
              </w:rPr>
            </w:pPr>
          </w:p>
        </w:tc>
        <w:tc>
          <w:tcPr>
            <w:tcW w:w="1380" w:type="dxa"/>
            <w:shd w:val="clear" w:color="auto" w:fill="auto"/>
            <w:vAlign w:val="center"/>
          </w:tcPr>
          <w:p>
            <w:pPr>
              <w:widowControl/>
              <w:adjustRightInd w:val="0"/>
              <w:snapToGrid w:val="0"/>
              <w:rPr>
                <w:rFonts w:ascii="宋体" w:hAnsi="宋体" w:cs="宋体"/>
                <w:color w:val="auto"/>
                <w:kern w:val="0"/>
                <w:sz w:val="18"/>
                <w:szCs w:val="18"/>
              </w:rPr>
            </w:pPr>
            <w:r>
              <w:rPr>
                <w:rFonts w:hint="eastAsia" w:ascii="宋体" w:hAnsi="宋体" w:cs="宋体"/>
                <w:color w:val="auto"/>
                <w:kern w:val="0"/>
                <w:sz w:val="18"/>
                <w:szCs w:val="18"/>
              </w:rPr>
              <w:t>签订劳动合同：</w:t>
            </w:r>
          </w:p>
        </w:tc>
        <w:tc>
          <w:tcPr>
            <w:tcW w:w="1105" w:type="dxa"/>
            <w:shd w:val="clear" w:color="auto" w:fill="auto"/>
            <w:vAlign w:val="center"/>
          </w:tcPr>
          <w:p>
            <w:pPr>
              <w:widowControl/>
              <w:adjustRightInd w:val="0"/>
              <w:snapToGrid w:val="0"/>
              <w:jc w:val="distribute"/>
              <w:rPr>
                <w:rFonts w:ascii="宋体" w:hAnsi="宋体" w:cs="宋体"/>
                <w:color w:val="auto"/>
                <w:kern w:val="0"/>
                <w:sz w:val="18"/>
                <w:szCs w:val="18"/>
              </w:rPr>
            </w:pPr>
            <w:r>
              <w:rPr>
                <w:rFonts w:hint="eastAsia" w:ascii="宋体" w:hAnsi="宋体" w:cs="宋体"/>
                <w:color w:val="auto"/>
                <w:kern w:val="0"/>
                <w:sz w:val="18"/>
                <w:szCs w:val="18"/>
              </w:rPr>
              <w:t xml:space="preserve">□是        </w:t>
            </w:r>
            <w:r>
              <w:rPr>
                <w:rFonts w:hint="eastAsia" w:ascii="宋体" w:hAnsi="宋体" w:cs="宋体"/>
                <w:color w:val="auto"/>
                <w:kern w:val="0"/>
                <w:sz w:val="18"/>
                <w:szCs w:val="18"/>
              </w:rPr>
              <w:sym w:font="Wingdings 2" w:char="00A3"/>
            </w:r>
            <w:r>
              <w:rPr>
                <w:rFonts w:hint="eastAsia" w:ascii="宋体" w:hAnsi="宋体" w:cs="宋体"/>
                <w:color w:val="auto"/>
                <w:kern w:val="0"/>
                <w:sz w:val="18"/>
                <w:szCs w:val="18"/>
              </w:rPr>
              <w:t>否</w:t>
            </w:r>
          </w:p>
        </w:tc>
        <w:tc>
          <w:tcPr>
            <w:tcW w:w="1365"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是否参加</w:t>
            </w:r>
          </w:p>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社会保险</w:t>
            </w:r>
          </w:p>
        </w:tc>
        <w:tc>
          <w:tcPr>
            <w:tcW w:w="4319" w:type="dxa"/>
            <w:gridSpan w:val="3"/>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7" w:type="dxa"/>
            <w:vMerge w:val="continue"/>
            <w:vAlign w:val="center"/>
          </w:tcPr>
          <w:p>
            <w:pPr>
              <w:widowControl/>
              <w:adjustRightInd w:val="0"/>
              <w:snapToGrid w:val="0"/>
              <w:jc w:val="left"/>
              <w:rPr>
                <w:rFonts w:ascii="宋体" w:hAnsi="宋体" w:cs="宋体"/>
                <w:color w:val="auto"/>
                <w:kern w:val="0"/>
                <w:sz w:val="18"/>
                <w:szCs w:val="18"/>
              </w:rPr>
            </w:pPr>
          </w:p>
        </w:tc>
        <w:tc>
          <w:tcPr>
            <w:tcW w:w="8169" w:type="dxa"/>
            <w:gridSpan w:val="6"/>
            <w:shd w:val="clear" w:color="auto" w:fill="auto"/>
            <w:vAlign w:val="center"/>
          </w:tcPr>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合同履行期限：          年    月    日 起至      年    月     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5" w:hRule="atLeast"/>
          <w:jc w:val="center"/>
        </w:trPr>
        <w:tc>
          <w:tcPr>
            <w:tcW w:w="1607" w:type="dxa"/>
            <w:vMerge w:val="continue"/>
            <w:vAlign w:val="center"/>
          </w:tcPr>
          <w:p>
            <w:pPr>
              <w:widowControl/>
              <w:adjustRightInd w:val="0"/>
              <w:snapToGrid w:val="0"/>
              <w:jc w:val="left"/>
              <w:rPr>
                <w:rFonts w:ascii="宋体" w:hAnsi="宋体" w:cs="宋体"/>
                <w:color w:val="auto"/>
                <w:kern w:val="0"/>
                <w:sz w:val="18"/>
                <w:szCs w:val="18"/>
              </w:rPr>
            </w:pPr>
          </w:p>
        </w:tc>
        <w:tc>
          <w:tcPr>
            <w:tcW w:w="8169" w:type="dxa"/>
            <w:gridSpan w:val="6"/>
            <w:shd w:val="clear" w:color="auto" w:fill="auto"/>
            <w:vAlign w:val="center"/>
          </w:tcPr>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请抄录以下内容并签名：</w:t>
            </w:r>
          </w:p>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本人承诺，提供的信息真实有效，如有不实，愿意承担一切责任。</w:t>
            </w:r>
          </w:p>
          <w:p>
            <w:pPr>
              <w:widowControl/>
              <w:adjustRightInd w:val="0"/>
              <w:snapToGrid w:val="0"/>
              <w:jc w:val="left"/>
              <w:rPr>
                <w:rFonts w:ascii="等线" w:hAnsi="等线" w:eastAsia="等线" w:cs="宋体"/>
                <w:color w:val="auto"/>
                <w:kern w:val="0"/>
                <w:sz w:val="24"/>
                <w:u w:val="single"/>
              </w:rPr>
            </w:pPr>
            <w:r>
              <w:rPr>
                <w:rFonts w:hint="eastAsia" w:ascii="等线" w:hAnsi="等线" w:eastAsia="等线" w:cs="宋体"/>
                <w:color w:val="auto"/>
                <w:kern w:val="0"/>
                <w:sz w:val="24"/>
                <w:u w:val="single"/>
              </w:rPr>
              <w:t xml:space="preserve">                                                                                                                      </w:t>
            </w:r>
          </w:p>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本人已知晓：</w:t>
            </w:r>
          </w:p>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1．如就业地点发生变化，需及时向新就业地公共就业服务机构申请就业登记。</w:t>
            </w:r>
          </w:p>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2．如需申请灵活就业社会保险补贴，需符合未取得工商营业执照条件，并配合公共就业服务机构开展灵活就业状态和就业方式的调查核实工作；如在领取补贴期间取得工商营业执照或转变灵活就业状态的，需及时向当地公共就业服务机构报备。</w:t>
            </w:r>
          </w:p>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3．如需申请享受社会保险补贴等政策，需在当地人力资源社会保障部门规定时限内提出申请，逾期未申请视为自动放弃。</w:t>
            </w:r>
          </w:p>
          <w:p>
            <w:pPr>
              <w:widowControl/>
              <w:wordWrap w:val="0"/>
              <w:adjustRightInd w:val="0"/>
              <w:snapToGrid w:val="0"/>
              <w:jc w:val="right"/>
              <w:rPr>
                <w:rFonts w:ascii="宋体" w:hAnsi="宋体" w:cs="宋体"/>
                <w:color w:val="auto"/>
                <w:kern w:val="0"/>
                <w:sz w:val="18"/>
                <w:szCs w:val="18"/>
              </w:rPr>
            </w:pPr>
            <w:r>
              <w:rPr>
                <w:rFonts w:hint="eastAsia" w:ascii="宋体" w:hAnsi="宋体" w:cs="宋体"/>
                <w:color w:val="auto"/>
                <w:kern w:val="0"/>
                <w:sz w:val="18"/>
                <w:szCs w:val="18"/>
              </w:rPr>
              <w:t xml:space="preserve">申请人（签字）：      </w:t>
            </w:r>
          </w:p>
          <w:p>
            <w:pPr>
              <w:widowControl/>
              <w:adjustRightInd w:val="0"/>
              <w:snapToGrid w:val="0"/>
              <w:jc w:val="right"/>
              <w:rPr>
                <w:rFonts w:ascii="宋体" w:hAnsi="宋体" w:cs="宋体"/>
                <w:color w:val="auto"/>
                <w:kern w:val="0"/>
                <w:sz w:val="18"/>
                <w:szCs w:val="18"/>
              </w:rPr>
            </w:pPr>
            <w:r>
              <w:rPr>
                <w:rFonts w:hint="eastAsia" w:ascii="宋体" w:hAnsi="宋体" w:cs="宋体"/>
                <w:color w:val="auto"/>
                <w:kern w:val="0"/>
                <w:sz w:val="18"/>
                <w:szCs w:val="1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7" w:type="dxa"/>
            <w:vMerge w:val="restart"/>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档案的接收和转递（流动人员）</w:t>
            </w:r>
          </w:p>
        </w:tc>
        <w:tc>
          <w:tcPr>
            <w:tcW w:w="8169" w:type="dxa"/>
            <w:gridSpan w:val="6"/>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流动人员人事档案流转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07" w:type="dxa"/>
            <w:vMerge w:val="continue"/>
            <w:vAlign w:val="center"/>
          </w:tcPr>
          <w:p>
            <w:pPr>
              <w:widowControl/>
              <w:adjustRightInd w:val="0"/>
              <w:snapToGrid w:val="0"/>
              <w:jc w:val="left"/>
              <w:rPr>
                <w:rFonts w:ascii="宋体" w:hAnsi="宋体" w:cs="宋体"/>
                <w:color w:val="auto"/>
                <w:kern w:val="0"/>
                <w:sz w:val="18"/>
                <w:szCs w:val="18"/>
              </w:rPr>
            </w:pPr>
          </w:p>
        </w:tc>
        <w:tc>
          <w:tcPr>
            <w:tcW w:w="1380" w:type="dxa"/>
            <w:shd w:val="clear" w:color="auto" w:fill="auto"/>
            <w:vAlign w:val="center"/>
          </w:tcPr>
          <w:p>
            <w:pPr>
              <w:widowControl/>
              <w:adjustRightInd w:val="0"/>
              <w:snapToGrid w:val="0"/>
              <w:rPr>
                <w:rFonts w:ascii="宋体" w:hAnsi="宋体" w:cs="宋体"/>
                <w:color w:val="auto"/>
                <w:kern w:val="0"/>
                <w:sz w:val="18"/>
                <w:szCs w:val="18"/>
              </w:rPr>
            </w:pPr>
            <w:r>
              <w:rPr>
                <w:rFonts w:hint="eastAsia" w:ascii="宋体" w:hAnsi="宋体" w:cs="宋体"/>
                <w:color w:val="auto"/>
                <w:kern w:val="0"/>
                <w:sz w:val="18"/>
                <w:szCs w:val="18"/>
              </w:rPr>
              <w:t>档案所在单位或机构</w:t>
            </w:r>
          </w:p>
        </w:tc>
        <w:tc>
          <w:tcPr>
            <w:tcW w:w="1105" w:type="dxa"/>
            <w:shd w:val="clear" w:color="auto" w:fill="auto"/>
            <w:vAlign w:val="center"/>
          </w:tcPr>
          <w:p>
            <w:pPr>
              <w:widowControl/>
              <w:adjustRightInd w:val="0"/>
              <w:snapToGrid w:val="0"/>
              <w:rPr>
                <w:rFonts w:ascii="宋体" w:hAnsi="宋体" w:cs="宋体"/>
                <w:color w:val="auto"/>
                <w:kern w:val="0"/>
                <w:sz w:val="18"/>
                <w:szCs w:val="18"/>
              </w:rPr>
            </w:pPr>
          </w:p>
        </w:tc>
        <w:tc>
          <w:tcPr>
            <w:tcW w:w="1365" w:type="dxa"/>
            <w:shd w:val="clear" w:color="auto" w:fill="auto"/>
            <w:vAlign w:val="center"/>
          </w:tcPr>
          <w:p>
            <w:pPr>
              <w:widowControl/>
              <w:adjustRightInd w:val="0"/>
              <w:snapToGrid w:val="0"/>
              <w:rPr>
                <w:rFonts w:ascii="宋体" w:hAnsi="宋体" w:cs="宋体"/>
                <w:color w:val="auto"/>
                <w:kern w:val="0"/>
                <w:sz w:val="18"/>
                <w:szCs w:val="18"/>
              </w:rPr>
            </w:pPr>
            <w:r>
              <w:rPr>
                <w:rFonts w:hint="eastAsia" w:ascii="宋体" w:hAnsi="宋体" w:cs="宋体"/>
                <w:color w:val="auto"/>
                <w:kern w:val="0"/>
                <w:sz w:val="18"/>
                <w:szCs w:val="18"/>
              </w:rPr>
              <w:t>现在档案所在机构地址</w:t>
            </w:r>
          </w:p>
        </w:tc>
        <w:tc>
          <w:tcPr>
            <w:tcW w:w="1018" w:type="dxa"/>
            <w:shd w:val="clear" w:color="auto" w:fill="auto"/>
            <w:vAlign w:val="center"/>
          </w:tcPr>
          <w:p>
            <w:pPr>
              <w:widowControl/>
              <w:adjustRightInd w:val="0"/>
              <w:snapToGrid w:val="0"/>
              <w:rPr>
                <w:rFonts w:ascii="宋体" w:hAnsi="宋体" w:cs="宋体"/>
                <w:color w:val="auto"/>
                <w:kern w:val="0"/>
                <w:sz w:val="18"/>
                <w:szCs w:val="18"/>
              </w:rPr>
            </w:pPr>
          </w:p>
        </w:tc>
        <w:tc>
          <w:tcPr>
            <w:tcW w:w="1585" w:type="dxa"/>
            <w:shd w:val="clear" w:color="auto" w:fill="auto"/>
            <w:vAlign w:val="center"/>
          </w:tcPr>
          <w:p>
            <w:pPr>
              <w:widowControl/>
              <w:adjustRightInd w:val="0"/>
              <w:snapToGrid w:val="0"/>
              <w:rPr>
                <w:rFonts w:ascii="宋体" w:hAnsi="宋体" w:cs="宋体"/>
                <w:color w:val="auto"/>
                <w:kern w:val="0"/>
                <w:sz w:val="18"/>
                <w:szCs w:val="18"/>
              </w:rPr>
            </w:pPr>
            <w:r>
              <w:rPr>
                <w:rFonts w:hint="eastAsia" w:ascii="宋体" w:hAnsi="宋体" w:cs="宋体"/>
                <w:color w:val="auto"/>
                <w:kern w:val="0"/>
                <w:sz w:val="18"/>
                <w:szCs w:val="18"/>
              </w:rPr>
              <w:t>现在档案所在机构联系方式</w:t>
            </w:r>
          </w:p>
        </w:tc>
        <w:tc>
          <w:tcPr>
            <w:tcW w:w="1716" w:type="dxa"/>
            <w:shd w:val="clear" w:color="auto" w:fill="auto"/>
            <w:vAlign w:val="center"/>
          </w:tcPr>
          <w:p>
            <w:pPr>
              <w:widowControl/>
              <w:adjustRightInd w:val="0"/>
              <w:snapToGrid w:val="0"/>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1607" w:type="dxa"/>
            <w:vMerge w:val="continue"/>
            <w:vAlign w:val="center"/>
          </w:tcPr>
          <w:p>
            <w:pPr>
              <w:widowControl/>
              <w:adjustRightInd w:val="0"/>
              <w:snapToGrid w:val="0"/>
              <w:jc w:val="left"/>
              <w:rPr>
                <w:rFonts w:ascii="宋体" w:hAnsi="宋体" w:cs="宋体"/>
                <w:color w:val="auto"/>
                <w:kern w:val="0"/>
                <w:sz w:val="18"/>
                <w:szCs w:val="18"/>
              </w:rPr>
            </w:pPr>
          </w:p>
        </w:tc>
        <w:tc>
          <w:tcPr>
            <w:tcW w:w="8169" w:type="dxa"/>
            <w:gridSpan w:val="6"/>
            <w:shd w:val="clear" w:color="auto" w:fill="auto"/>
            <w:vAlign w:val="center"/>
          </w:tcPr>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 xml:space="preserve">    本人现已（毕业□ 辞职/辞退□  解除/终止劳动关系□  其他 </w:t>
            </w:r>
            <w:r>
              <w:rPr>
                <w:rFonts w:hint="eastAsia" w:ascii="宋体" w:hAnsi="宋体" w:cs="宋体"/>
                <w:color w:val="auto"/>
                <w:kern w:val="0"/>
                <w:sz w:val="18"/>
                <w:szCs w:val="18"/>
                <w:u w:val="single"/>
              </w:rPr>
              <w:t xml:space="preserve">       </w:t>
            </w:r>
            <w:r>
              <w:rPr>
                <w:rFonts w:hint="eastAsia" w:ascii="宋体" w:hAnsi="宋体" w:cs="宋体"/>
                <w:color w:val="auto"/>
                <w:kern w:val="0"/>
                <w:sz w:val="18"/>
                <w:szCs w:val="18"/>
              </w:rPr>
              <w:t xml:space="preserve"> ），申请把原存档单位或机构的人事档案转入委托贵单位管理。本人承诺和保证所填内容及提供材料真实有效，意愿表达清楚准确，如有不当行为，由本人承担一切责任。</w:t>
            </w:r>
          </w:p>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申请人（签字）：   </w:t>
            </w:r>
          </w:p>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7" w:type="dxa"/>
            <w:vMerge w:val="continue"/>
            <w:vAlign w:val="center"/>
          </w:tcPr>
          <w:p>
            <w:pPr>
              <w:widowControl/>
              <w:adjustRightInd w:val="0"/>
              <w:snapToGrid w:val="0"/>
              <w:jc w:val="left"/>
              <w:rPr>
                <w:rFonts w:ascii="宋体" w:hAnsi="宋体" w:cs="宋体"/>
                <w:color w:val="auto"/>
                <w:kern w:val="0"/>
                <w:sz w:val="18"/>
                <w:szCs w:val="18"/>
              </w:rPr>
            </w:pPr>
          </w:p>
        </w:tc>
        <w:tc>
          <w:tcPr>
            <w:tcW w:w="8169" w:type="dxa"/>
            <w:gridSpan w:val="6"/>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档案调出申请（区内人才服务机构网上协同办理专用）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607" w:type="dxa"/>
            <w:vMerge w:val="continue"/>
            <w:vAlign w:val="center"/>
          </w:tcPr>
          <w:p>
            <w:pPr>
              <w:widowControl/>
              <w:adjustRightInd w:val="0"/>
              <w:snapToGrid w:val="0"/>
              <w:jc w:val="left"/>
              <w:rPr>
                <w:rFonts w:ascii="宋体" w:hAnsi="宋体" w:cs="宋体"/>
                <w:color w:val="auto"/>
                <w:kern w:val="0"/>
                <w:sz w:val="18"/>
                <w:szCs w:val="18"/>
              </w:rPr>
            </w:pPr>
          </w:p>
        </w:tc>
        <w:tc>
          <w:tcPr>
            <w:tcW w:w="8169" w:type="dxa"/>
            <w:gridSpan w:val="6"/>
            <w:shd w:val="clear" w:color="auto" w:fill="auto"/>
            <w:vAlign w:val="center"/>
          </w:tcPr>
          <w:p>
            <w:pPr>
              <w:widowControl/>
              <w:adjustRightInd w:val="0"/>
              <w:snapToGrid w:val="0"/>
              <w:jc w:val="left"/>
              <w:rPr>
                <w:rFonts w:ascii="宋体" w:hAnsi="宋体" w:cs="宋体"/>
                <w:color w:val="auto"/>
                <w:kern w:val="0"/>
                <w:sz w:val="18"/>
                <w:szCs w:val="18"/>
                <w:u w:val="single"/>
              </w:rPr>
            </w:pPr>
            <w:r>
              <w:rPr>
                <w:rFonts w:hint="eastAsia" w:ascii="宋体" w:hAnsi="宋体" w:cs="宋体"/>
                <w:color w:val="auto"/>
                <w:kern w:val="0"/>
                <w:sz w:val="18"/>
                <w:szCs w:val="18"/>
                <w:u w:val="single"/>
              </w:rPr>
              <w:t xml:space="preserve">              </w:t>
            </w:r>
            <w:r>
              <w:rPr>
                <w:rFonts w:ascii="宋体" w:hAnsi="宋体" w:cs="宋体"/>
                <w:color w:val="auto"/>
                <w:kern w:val="0"/>
                <w:sz w:val="18"/>
                <w:szCs w:val="18"/>
              </w:rPr>
              <w:t>，</w:t>
            </w:r>
          </w:p>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本人因</w:t>
            </w:r>
            <w:r>
              <w:rPr>
                <w:rFonts w:hint="eastAsia" w:ascii="宋体" w:hAnsi="宋体" w:cs="宋体"/>
                <w:color w:val="auto"/>
                <w:kern w:val="0"/>
                <w:sz w:val="18"/>
                <w:szCs w:val="18"/>
                <w:u w:val="single"/>
              </w:rPr>
              <w:t xml:space="preserve">             </w:t>
            </w:r>
            <w:r>
              <w:rPr>
                <w:rFonts w:hint="eastAsia" w:ascii="宋体" w:hAnsi="宋体" w:cs="宋体"/>
                <w:color w:val="auto"/>
                <w:kern w:val="0"/>
                <w:sz w:val="18"/>
                <w:szCs w:val="18"/>
              </w:rPr>
              <w:t>原因，现向你单位申请调出本人人事档案至</w:t>
            </w:r>
            <w:r>
              <w:rPr>
                <w:rFonts w:hint="eastAsia" w:ascii="宋体" w:hAnsi="宋体" w:cs="宋体"/>
                <w:color w:val="auto"/>
                <w:kern w:val="0"/>
                <w:sz w:val="18"/>
                <w:szCs w:val="18"/>
                <w:u w:val="single"/>
              </w:rPr>
              <w:t xml:space="preserve">                </w:t>
            </w:r>
            <w:r>
              <w:rPr>
                <w:rFonts w:hint="eastAsia" w:ascii="宋体" w:hAnsi="宋体" w:cs="宋体"/>
                <w:color w:val="auto"/>
                <w:kern w:val="0"/>
                <w:sz w:val="18"/>
                <w:szCs w:val="18"/>
              </w:rPr>
              <w:t>，本申请为本人的真实意思表示，请予以办理。</w:t>
            </w:r>
          </w:p>
          <w:p>
            <w:pPr>
              <w:widowControl/>
              <w:adjustRightInd w:val="0"/>
              <w:snapToGrid w:val="0"/>
              <w:ind w:firstLine="2160" w:firstLineChars="1200"/>
              <w:rPr>
                <w:rFonts w:ascii="宋体" w:hAnsi="宋体" w:cs="宋体"/>
                <w:color w:val="auto"/>
                <w:kern w:val="0"/>
                <w:sz w:val="18"/>
                <w:szCs w:val="18"/>
              </w:rPr>
            </w:pPr>
            <w:r>
              <w:rPr>
                <w:rFonts w:hint="eastAsia" w:ascii="宋体" w:hAnsi="宋体" w:cs="宋体"/>
                <w:color w:val="auto"/>
                <w:kern w:val="0"/>
                <w:sz w:val="18"/>
                <w:szCs w:val="18"/>
              </w:rPr>
              <w:t xml:space="preserve">申请人：            </w:t>
            </w:r>
            <w:r>
              <w:rPr>
                <w:rFonts w:ascii="宋体" w:hAnsi="宋体" w:cs="宋体"/>
                <w:color w:val="auto"/>
                <w:kern w:val="0"/>
                <w:sz w:val="18"/>
                <w:szCs w:val="18"/>
              </w:rPr>
              <w:t xml:space="preserve"> </w:t>
            </w:r>
            <w:r>
              <w:rPr>
                <w:rFonts w:hint="eastAsia" w:ascii="宋体" w:hAnsi="宋体" w:cs="宋体"/>
                <w:color w:val="auto"/>
                <w:kern w:val="0"/>
                <w:sz w:val="18"/>
                <w:szCs w:val="18"/>
              </w:rPr>
              <w:t>受委托人：         年    月    日</w:t>
            </w:r>
          </w:p>
        </w:tc>
      </w:tr>
    </w:tbl>
    <w:p>
      <w:pPr>
        <w:pStyle w:val="275"/>
        <w:numPr>
          <w:ilvl w:val="1"/>
          <w:numId w:val="34"/>
        </w:numPr>
        <w:spacing w:before="156" w:after="156"/>
        <w:rPr>
          <w:color w:val="auto"/>
        </w:rPr>
      </w:pPr>
      <w:r>
        <w:rPr>
          <w:color w:val="auto"/>
        </w:rPr>
        <w:t>灵活就业</w:t>
      </w:r>
      <w:r>
        <w:rPr>
          <w:rFonts w:hint="eastAsia"/>
          <w:color w:val="auto"/>
        </w:rPr>
        <w:t>“</w:t>
      </w:r>
      <w:r>
        <w:rPr>
          <w:color w:val="auto"/>
        </w:rPr>
        <w:t>全链通办</w:t>
      </w:r>
      <w:r>
        <w:rPr>
          <w:rFonts w:hint="eastAsia"/>
          <w:color w:val="auto"/>
        </w:rPr>
        <w:t>”</w:t>
      </w:r>
      <w:r>
        <w:rPr>
          <w:color w:val="auto"/>
        </w:rPr>
        <w:t>申请表</w:t>
      </w:r>
      <w:r>
        <w:rPr>
          <w:rFonts w:hint="eastAsia" w:ascii="宋体" w:hAnsi="宋体" w:eastAsia="宋体" w:cs="宋体"/>
          <w:color w:val="auto"/>
        </w:rPr>
        <w:t>（续）</w:t>
      </w:r>
    </w:p>
    <w:tbl>
      <w:tblPr>
        <w:tblStyle w:val="88"/>
        <w:tblW w:w="95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6"/>
        <w:gridCol w:w="1230"/>
        <w:gridCol w:w="176"/>
        <w:gridCol w:w="1054"/>
        <w:gridCol w:w="72"/>
        <w:gridCol w:w="1158"/>
        <w:gridCol w:w="233"/>
        <w:gridCol w:w="903"/>
        <w:gridCol w:w="94"/>
        <w:gridCol w:w="40"/>
        <w:gridCol w:w="680"/>
        <w:gridCol w:w="935"/>
        <w:gridCol w:w="1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636" w:type="dxa"/>
            <w:vMerge w:val="restart"/>
            <w:vAlign w:val="center"/>
          </w:tcPr>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档案的接收和转递（流动人员）</w:t>
            </w:r>
          </w:p>
        </w:tc>
        <w:tc>
          <w:tcPr>
            <w:tcW w:w="7894" w:type="dxa"/>
            <w:gridSpan w:val="12"/>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流动人员人事档案转出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636" w:type="dxa"/>
            <w:vMerge w:val="continue"/>
            <w:vAlign w:val="center"/>
          </w:tcPr>
          <w:p>
            <w:pPr>
              <w:widowControl/>
              <w:adjustRightInd w:val="0"/>
              <w:snapToGrid w:val="0"/>
              <w:jc w:val="left"/>
              <w:rPr>
                <w:rFonts w:ascii="宋体" w:hAnsi="宋体" w:cs="宋体"/>
                <w:color w:val="auto"/>
                <w:kern w:val="0"/>
                <w:sz w:val="18"/>
                <w:szCs w:val="18"/>
              </w:rPr>
            </w:pPr>
          </w:p>
        </w:tc>
        <w:tc>
          <w:tcPr>
            <w:tcW w:w="1406" w:type="dxa"/>
            <w:gridSpan w:val="2"/>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现工作单位</w:t>
            </w:r>
          </w:p>
        </w:tc>
        <w:tc>
          <w:tcPr>
            <w:tcW w:w="1126" w:type="dxa"/>
            <w:gridSpan w:val="2"/>
            <w:shd w:val="clear" w:color="auto" w:fill="auto"/>
            <w:vAlign w:val="center"/>
          </w:tcPr>
          <w:p>
            <w:pPr>
              <w:widowControl/>
              <w:adjustRightInd w:val="0"/>
              <w:snapToGrid w:val="0"/>
              <w:jc w:val="center"/>
              <w:rPr>
                <w:rFonts w:ascii="宋体" w:hAnsi="宋体" w:cs="宋体"/>
                <w:color w:val="auto"/>
                <w:kern w:val="0"/>
                <w:sz w:val="18"/>
                <w:szCs w:val="18"/>
              </w:rPr>
            </w:pPr>
          </w:p>
        </w:tc>
        <w:tc>
          <w:tcPr>
            <w:tcW w:w="1391" w:type="dxa"/>
            <w:gridSpan w:val="2"/>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接档单位名称</w:t>
            </w:r>
          </w:p>
        </w:tc>
        <w:tc>
          <w:tcPr>
            <w:tcW w:w="1037" w:type="dxa"/>
            <w:gridSpan w:val="3"/>
            <w:shd w:val="clear" w:color="auto" w:fill="auto"/>
            <w:vAlign w:val="center"/>
          </w:tcPr>
          <w:p>
            <w:pPr>
              <w:widowControl/>
              <w:adjustRightInd w:val="0"/>
              <w:snapToGrid w:val="0"/>
              <w:jc w:val="center"/>
              <w:rPr>
                <w:rFonts w:ascii="宋体" w:hAnsi="宋体" w:cs="宋体"/>
                <w:color w:val="auto"/>
                <w:kern w:val="0"/>
                <w:sz w:val="18"/>
                <w:szCs w:val="18"/>
              </w:rPr>
            </w:pPr>
          </w:p>
        </w:tc>
        <w:tc>
          <w:tcPr>
            <w:tcW w:w="1615" w:type="dxa"/>
            <w:gridSpan w:val="2"/>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接档单位地址</w:t>
            </w:r>
          </w:p>
        </w:tc>
        <w:tc>
          <w:tcPr>
            <w:tcW w:w="1316" w:type="dxa"/>
            <w:shd w:val="clear" w:color="auto" w:fill="auto"/>
            <w:vAlign w:val="center"/>
          </w:tcPr>
          <w:p>
            <w:pPr>
              <w:widowControl/>
              <w:adjustRightInd w:val="0"/>
              <w:snapToGrid w:val="0"/>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636" w:type="dxa"/>
            <w:vMerge w:val="continue"/>
            <w:vAlign w:val="center"/>
          </w:tcPr>
          <w:p>
            <w:pPr>
              <w:widowControl/>
              <w:adjustRightInd w:val="0"/>
              <w:snapToGrid w:val="0"/>
              <w:jc w:val="left"/>
              <w:rPr>
                <w:rFonts w:ascii="宋体" w:hAnsi="宋体" w:cs="宋体"/>
                <w:color w:val="auto"/>
                <w:kern w:val="0"/>
                <w:sz w:val="18"/>
                <w:szCs w:val="18"/>
              </w:rPr>
            </w:pPr>
          </w:p>
        </w:tc>
        <w:tc>
          <w:tcPr>
            <w:tcW w:w="1406" w:type="dxa"/>
            <w:gridSpan w:val="2"/>
            <w:shd w:val="clear" w:color="auto" w:fill="auto"/>
            <w:vAlign w:val="center"/>
          </w:tcPr>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申请转出原因</w:t>
            </w:r>
          </w:p>
        </w:tc>
        <w:tc>
          <w:tcPr>
            <w:tcW w:w="6487" w:type="dxa"/>
            <w:gridSpan w:val="10"/>
            <w:shd w:val="clear" w:color="auto" w:fill="auto"/>
            <w:vAlign w:val="center"/>
          </w:tcPr>
          <w:p>
            <w:pPr>
              <w:widowControl/>
              <w:adjustRightInd w:val="0"/>
              <w:snapToGrid w:val="0"/>
              <w:ind w:firstLine="360" w:firstLineChars="200"/>
              <w:jc w:val="left"/>
              <w:rPr>
                <w:rFonts w:ascii="宋体" w:hAnsi="宋体" w:cs="宋体"/>
                <w:color w:val="auto"/>
                <w:kern w:val="0"/>
                <w:sz w:val="18"/>
                <w:szCs w:val="18"/>
              </w:rPr>
            </w:pPr>
            <w:r>
              <w:rPr>
                <w:rFonts w:hint="eastAsia" w:ascii="宋体" w:hAnsi="宋体" w:cs="宋体"/>
                <w:color w:val="auto"/>
                <w:kern w:val="0"/>
                <w:sz w:val="18"/>
                <w:szCs w:val="18"/>
              </w:rPr>
              <w:t>因□</w:t>
            </w:r>
            <w:r>
              <w:rPr>
                <w:rFonts w:ascii="宋体" w:hAnsi="宋体" w:cs="宋体"/>
                <w:color w:val="auto"/>
                <w:kern w:val="0"/>
                <w:sz w:val="18"/>
                <w:szCs w:val="18"/>
                <w:u w:val="single"/>
              </w:rPr>
              <w:t>单位录用</w:t>
            </w:r>
            <w:r>
              <w:rPr>
                <w:rFonts w:ascii="宋体" w:hAnsi="宋体" w:cs="宋体"/>
                <w:color w:val="auto"/>
                <w:kern w:val="0"/>
                <w:sz w:val="18"/>
                <w:szCs w:val="18"/>
              </w:rPr>
              <w:t xml:space="preserve"> □转其他人才机构 □入学  □</w:t>
            </w:r>
            <w:r>
              <w:rPr>
                <w:rFonts w:ascii="宋体" w:hAnsi="宋体" w:cs="宋体"/>
                <w:color w:val="auto"/>
                <w:kern w:val="0"/>
                <w:sz w:val="18"/>
                <w:szCs w:val="18"/>
                <w:u w:val="single"/>
              </w:rPr>
              <w:t xml:space="preserve">                   </w:t>
            </w:r>
            <w:r>
              <w:rPr>
                <w:rFonts w:ascii="宋体" w:hAnsi="宋体" w:cs="宋体"/>
                <w:color w:val="auto"/>
                <w:kern w:val="0"/>
                <w:sz w:val="18"/>
                <w:szCs w:val="18"/>
              </w:rPr>
              <w:t>，现申请将本人人事档案转至接档单位。</w:t>
            </w:r>
          </w:p>
          <w:p>
            <w:pPr>
              <w:widowControl/>
              <w:adjustRightInd w:val="0"/>
              <w:snapToGrid w:val="0"/>
              <w:ind w:firstLine="360" w:firstLineChars="200"/>
              <w:jc w:val="left"/>
              <w:rPr>
                <w:rFonts w:ascii="宋体" w:hAnsi="宋体" w:cs="宋体"/>
                <w:color w:val="auto"/>
                <w:kern w:val="0"/>
                <w:sz w:val="18"/>
                <w:szCs w:val="18"/>
              </w:rPr>
            </w:pPr>
            <w:r>
              <w:rPr>
                <w:rFonts w:ascii="宋体" w:hAnsi="宋体" w:cs="宋体"/>
                <w:color w:val="auto"/>
                <w:kern w:val="0"/>
                <w:sz w:val="18"/>
                <w:szCs w:val="18"/>
              </w:rPr>
              <w:t xml:space="preserve">               </w:t>
            </w:r>
          </w:p>
          <w:p>
            <w:pPr>
              <w:widowControl/>
              <w:adjustRightInd w:val="0"/>
              <w:snapToGrid w:val="0"/>
              <w:ind w:firstLine="1800" w:firstLineChars="1000"/>
              <w:jc w:val="left"/>
              <w:rPr>
                <w:rFonts w:ascii="宋体" w:hAnsi="宋体" w:cs="宋体"/>
                <w:color w:val="auto"/>
                <w:kern w:val="0"/>
                <w:sz w:val="18"/>
                <w:szCs w:val="18"/>
              </w:rPr>
            </w:pPr>
            <w:r>
              <w:rPr>
                <w:rFonts w:ascii="宋体" w:hAnsi="宋体" w:cs="宋体"/>
                <w:color w:val="auto"/>
                <w:kern w:val="0"/>
                <w:sz w:val="18"/>
                <w:szCs w:val="18"/>
              </w:rPr>
              <w:t>申请人</w:t>
            </w:r>
            <w:r>
              <w:rPr>
                <w:rFonts w:hint="eastAsia" w:ascii="宋体" w:hAnsi="宋体" w:cs="宋体"/>
                <w:color w:val="auto"/>
                <w:kern w:val="0"/>
                <w:sz w:val="18"/>
                <w:szCs w:val="18"/>
              </w:rPr>
              <w:t>（签字）</w:t>
            </w:r>
            <w:r>
              <w:rPr>
                <w:rFonts w:ascii="宋体" w:hAnsi="宋体" w:cs="宋体"/>
                <w:color w:val="auto"/>
                <w:kern w:val="0"/>
                <w:sz w:val="18"/>
                <w:szCs w:val="18"/>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636" w:type="dxa"/>
            <w:vMerge w:val="continue"/>
            <w:vAlign w:val="center"/>
          </w:tcPr>
          <w:p>
            <w:pPr>
              <w:widowControl/>
              <w:adjustRightInd w:val="0"/>
              <w:snapToGrid w:val="0"/>
              <w:jc w:val="left"/>
              <w:rPr>
                <w:rFonts w:ascii="宋体" w:hAnsi="宋体" w:cs="宋体"/>
                <w:color w:val="auto"/>
                <w:kern w:val="0"/>
                <w:sz w:val="18"/>
                <w:szCs w:val="18"/>
              </w:rPr>
            </w:pPr>
          </w:p>
        </w:tc>
        <w:tc>
          <w:tcPr>
            <w:tcW w:w="7894" w:type="dxa"/>
            <w:gridSpan w:val="12"/>
            <w:shd w:val="clear" w:color="auto" w:fill="auto"/>
            <w:vAlign w:val="center"/>
          </w:tcPr>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申请人承诺和保证所填信息及所提供材料真实，意愿表达清楚准确，如有不当行为，由本人承担一切责任。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636" w:type="dxa"/>
            <w:vMerge w:val="restart"/>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灵活就业人员参保登记</w:t>
            </w:r>
          </w:p>
        </w:tc>
        <w:tc>
          <w:tcPr>
            <w:tcW w:w="7894" w:type="dxa"/>
            <w:gridSpan w:val="12"/>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 xml:space="preserve">参加养老保险申请：          □新参保       □续保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7" w:hRule="atLeast"/>
          <w:jc w:val="center"/>
        </w:trPr>
        <w:tc>
          <w:tcPr>
            <w:tcW w:w="1636" w:type="dxa"/>
            <w:vMerge w:val="continue"/>
            <w:shd w:val="clear" w:color="auto" w:fill="auto"/>
            <w:vAlign w:val="center"/>
          </w:tcPr>
          <w:p>
            <w:pPr>
              <w:widowControl/>
              <w:adjustRightInd w:val="0"/>
              <w:snapToGrid w:val="0"/>
              <w:jc w:val="center"/>
              <w:rPr>
                <w:rFonts w:ascii="宋体" w:hAnsi="宋体" w:cs="宋体"/>
                <w:color w:val="auto"/>
                <w:kern w:val="0"/>
                <w:sz w:val="18"/>
                <w:szCs w:val="18"/>
              </w:rPr>
            </w:pPr>
          </w:p>
        </w:tc>
        <w:tc>
          <w:tcPr>
            <w:tcW w:w="7894" w:type="dxa"/>
            <w:gridSpan w:val="12"/>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业务办理须知</w:t>
            </w:r>
          </w:p>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1、灵活就业人员参保登记表适用于尚未达到法定退休年龄的无雇工的个体工商户、未在用人单位参加基本养老保险的非全日制从业人员及其他灵活就业人员；</w:t>
            </w:r>
            <w:r>
              <w:rPr>
                <w:rFonts w:hint="eastAsia" w:ascii="宋体" w:hAnsi="宋体" w:cs="宋体"/>
                <w:color w:val="auto"/>
                <w:kern w:val="0"/>
                <w:sz w:val="18"/>
                <w:szCs w:val="18"/>
              </w:rPr>
              <w:br w:type="textWrapping"/>
            </w:r>
            <w:r>
              <w:rPr>
                <w:rFonts w:hint="eastAsia" w:ascii="宋体" w:hAnsi="宋体" w:cs="宋体"/>
                <w:color w:val="auto"/>
                <w:kern w:val="0"/>
                <w:sz w:val="18"/>
                <w:szCs w:val="18"/>
              </w:rPr>
              <w:t>2、个人编号是指参加企业职工养老保险的编号；</w:t>
            </w:r>
            <w:r>
              <w:rPr>
                <w:rFonts w:hint="eastAsia" w:ascii="宋体" w:hAnsi="宋体" w:cs="宋体"/>
                <w:color w:val="auto"/>
                <w:kern w:val="0"/>
                <w:sz w:val="18"/>
                <w:szCs w:val="18"/>
              </w:rPr>
              <w:br w:type="textWrapping"/>
            </w:r>
            <w:r>
              <w:rPr>
                <w:rFonts w:hint="eastAsia" w:ascii="宋体" w:hAnsi="宋体" w:cs="宋体"/>
                <w:color w:val="auto"/>
                <w:kern w:val="0"/>
                <w:sz w:val="18"/>
                <w:szCs w:val="18"/>
              </w:rPr>
              <w:t>3、办理新参保、续保业务的需提供身份证；（新参保人员指尚未达到法定退休年龄的无雇工个体工商户、未在用人单位参加社会保险的非全日制从业人员以及其他灵活就业人员）</w:t>
            </w:r>
            <w:r>
              <w:rPr>
                <w:rFonts w:hint="eastAsia" w:ascii="宋体" w:hAnsi="宋体" w:cs="宋体"/>
                <w:color w:val="auto"/>
                <w:kern w:val="0"/>
                <w:sz w:val="18"/>
                <w:szCs w:val="18"/>
              </w:rPr>
              <w:br w:type="textWrapping"/>
            </w:r>
            <w:r>
              <w:rPr>
                <w:rFonts w:hint="eastAsia" w:ascii="宋体" w:hAnsi="宋体" w:cs="宋体"/>
                <w:color w:val="auto"/>
                <w:kern w:val="0"/>
                <w:sz w:val="18"/>
                <w:szCs w:val="18"/>
              </w:rPr>
              <w:t>4、代办，必须提供委托书和委托人身份证相关证明的原件、复印件（1 份）；</w:t>
            </w:r>
            <w:r>
              <w:rPr>
                <w:rFonts w:hint="eastAsia" w:ascii="宋体" w:hAnsi="宋体" w:cs="宋体"/>
                <w:color w:val="auto"/>
                <w:kern w:val="0"/>
                <w:sz w:val="18"/>
                <w:szCs w:val="18"/>
              </w:rPr>
              <w:br w:type="textWrapping"/>
            </w:r>
            <w:r>
              <w:rPr>
                <w:rFonts w:hint="eastAsia" w:ascii="宋体" w:hAnsi="宋体" w:cs="宋体"/>
                <w:color w:val="auto"/>
                <w:kern w:val="0"/>
                <w:sz w:val="18"/>
                <w:szCs w:val="18"/>
              </w:rPr>
              <w:t>5、查询个人缴费信息，可通过自助机、登录广西数字人社网上服务大厅网站，http://rswb.gx12333.net/ ，或关注微信公众号“广西人社服务”查询</w:t>
            </w:r>
          </w:p>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我承诺已认真阅读以上《业务办理须知》、如实填写表单，并依照《业务办理须知》的要求办理社会保险业务。</w:t>
            </w:r>
          </w:p>
          <w:p>
            <w:pPr>
              <w:widowControl/>
              <w:adjustRightInd w:val="0"/>
              <w:snapToGrid w:val="0"/>
              <w:jc w:val="center"/>
              <w:rPr>
                <w:rFonts w:ascii="宋体" w:hAnsi="宋体" w:cs="宋体"/>
                <w:color w:val="auto"/>
                <w:kern w:val="0"/>
                <w:sz w:val="18"/>
                <w:szCs w:val="18"/>
              </w:rPr>
            </w:pP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636" w:type="dxa"/>
            <w:vMerge w:val="restart"/>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基本医疗保险参保和变更登记</w:t>
            </w:r>
          </w:p>
        </w:tc>
        <w:tc>
          <w:tcPr>
            <w:tcW w:w="7894" w:type="dxa"/>
            <w:gridSpan w:val="12"/>
            <w:shd w:val="clear" w:color="auto" w:fill="auto"/>
            <w:vAlign w:val="center"/>
          </w:tcPr>
          <w:p>
            <w:pPr>
              <w:widowControl/>
              <w:adjustRightInd w:val="0"/>
              <w:snapToGrid w:val="0"/>
              <w:jc w:val="center"/>
              <w:rPr>
                <w:rFonts w:ascii="宋体" w:hAnsi="宋体" w:cs="宋体"/>
                <w:color w:val="auto"/>
                <w:kern w:val="0"/>
                <w:sz w:val="18"/>
                <w:szCs w:val="18"/>
              </w:rPr>
            </w:pPr>
            <w:r>
              <w:rPr>
                <w:rFonts w:ascii="宋体" w:hAnsi="宋体" w:cs="宋体"/>
                <w:color w:val="auto"/>
                <w:kern w:val="0"/>
                <w:sz w:val="18"/>
                <w:szCs w:val="18"/>
              </w:rPr>
              <w:sym w:font="Wingdings 2" w:char="00A3"/>
            </w:r>
            <w:r>
              <w:rPr>
                <w:rFonts w:hint="eastAsia" w:ascii="宋体" w:hAnsi="宋体" w:cs="宋体"/>
                <w:color w:val="auto"/>
                <w:kern w:val="0"/>
                <w:sz w:val="18"/>
                <w:szCs w:val="18"/>
              </w:rPr>
              <w:t xml:space="preserve"> 新参保         </w:t>
            </w:r>
            <w:r>
              <w:rPr>
                <w:rFonts w:ascii="宋体" w:hAnsi="宋体" w:cs="宋体"/>
                <w:color w:val="auto"/>
                <w:kern w:val="0"/>
                <w:sz w:val="18"/>
                <w:szCs w:val="18"/>
              </w:rPr>
              <w:sym w:font="Wingdings 2" w:char="00A3"/>
            </w:r>
            <w:r>
              <w:rPr>
                <w:rFonts w:hint="eastAsia" w:ascii="宋体" w:hAnsi="宋体" w:cs="宋体"/>
                <w:color w:val="auto"/>
                <w:kern w:val="0"/>
                <w:sz w:val="18"/>
                <w:szCs w:val="18"/>
              </w:rPr>
              <w:t xml:space="preserve"> 续保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636" w:type="dxa"/>
            <w:vMerge w:val="continue"/>
            <w:vAlign w:val="center"/>
          </w:tcPr>
          <w:p>
            <w:pPr>
              <w:widowControl/>
              <w:adjustRightInd w:val="0"/>
              <w:snapToGrid w:val="0"/>
              <w:jc w:val="left"/>
              <w:rPr>
                <w:rFonts w:ascii="宋体" w:hAnsi="宋体" w:cs="宋体"/>
                <w:color w:val="auto"/>
                <w:kern w:val="0"/>
                <w:sz w:val="18"/>
                <w:szCs w:val="18"/>
              </w:rPr>
            </w:pPr>
          </w:p>
        </w:tc>
        <w:tc>
          <w:tcPr>
            <w:tcW w:w="1230"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参加险种</w:t>
            </w:r>
          </w:p>
        </w:tc>
        <w:tc>
          <w:tcPr>
            <w:tcW w:w="6663" w:type="dxa"/>
            <w:gridSpan w:val="11"/>
            <w:shd w:val="clear" w:color="auto" w:fill="auto"/>
            <w:vAlign w:val="center"/>
          </w:tcPr>
          <w:p>
            <w:pPr>
              <w:widowControl/>
              <w:adjustRightInd w:val="0"/>
              <w:snapToGrid w:val="0"/>
              <w:ind w:firstLine="360" w:firstLineChars="200"/>
              <w:jc w:val="left"/>
              <w:rPr>
                <w:rFonts w:ascii="宋体" w:hAnsi="宋体" w:cs="宋体"/>
                <w:color w:val="auto"/>
                <w:kern w:val="0"/>
                <w:sz w:val="18"/>
                <w:szCs w:val="18"/>
              </w:rPr>
            </w:pPr>
            <w:r>
              <w:rPr>
                <w:rFonts w:hint="eastAsia" w:ascii="宋体" w:hAnsi="宋体" w:cs="宋体"/>
                <w:color w:val="auto"/>
                <w:kern w:val="0"/>
                <w:sz w:val="18"/>
                <w:szCs w:val="18"/>
              </w:rPr>
              <w:t>□ 基本医保    □大额统筹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636" w:type="dxa"/>
            <w:vMerge w:val="continue"/>
            <w:vAlign w:val="center"/>
          </w:tcPr>
          <w:p>
            <w:pPr>
              <w:widowControl/>
              <w:adjustRightInd w:val="0"/>
              <w:snapToGrid w:val="0"/>
              <w:jc w:val="left"/>
              <w:rPr>
                <w:rFonts w:ascii="宋体" w:hAnsi="宋体" w:cs="宋体"/>
                <w:color w:val="auto"/>
                <w:kern w:val="0"/>
                <w:sz w:val="18"/>
                <w:szCs w:val="18"/>
              </w:rPr>
            </w:pPr>
          </w:p>
        </w:tc>
        <w:tc>
          <w:tcPr>
            <w:tcW w:w="1230" w:type="dxa"/>
            <w:shd w:val="clear" w:color="auto" w:fill="auto"/>
            <w:vAlign w:val="center"/>
          </w:tcPr>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代办人姓名</w:t>
            </w:r>
          </w:p>
        </w:tc>
        <w:tc>
          <w:tcPr>
            <w:tcW w:w="1230" w:type="dxa"/>
            <w:gridSpan w:val="2"/>
            <w:shd w:val="clear" w:color="auto" w:fill="auto"/>
            <w:vAlign w:val="center"/>
          </w:tcPr>
          <w:p>
            <w:pPr>
              <w:widowControl/>
              <w:adjustRightInd w:val="0"/>
              <w:snapToGrid w:val="0"/>
              <w:jc w:val="left"/>
              <w:rPr>
                <w:rFonts w:ascii="宋体" w:hAnsi="宋体" w:cs="宋体"/>
                <w:color w:val="auto"/>
                <w:kern w:val="0"/>
                <w:sz w:val="18"/>
                <w:szCs w:val="18"/>
              </w:rPr>
            </w:pPr>
          </w:p>
        </w:tc>
        <w:tc>
          <w:tcPr>
            <w:tcW w:w="1230" w:type="dxa"/>
            <w:gridSpan w:val="2"/>
            <w:shd w:val="clear" w:color="auto" w:fill="auto"/>
            <w:vAlign w:val="center"/>
          </w:tcPr>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身份证号码</w:t>
            </w:r>
          </w:p>
        </w:tc>
        <w:tc>
          <w:tcPr>
            <w:tcW w:w="1230" w:type="dxa"/>
            <w:gridSpan w:val="3"/>
            <w:shd w:val="clear" w:color="auto" w:fill="auto"/>
            <w:vAlign w:val="center"/>
          </w:tcPr>
          <w:p>
            <w:pPr>
              <w:widowControl/>
              <w:adjustRightInd w:val="0"/>
              <w:snapToGrid w:val="0"/>
              <w:jc w:val="left"/>
              <w:rPr>
                <w:rFonts w:ascii="宋体" w:hAnsi="宋体" w:cs="宋体"/>
                <w:color w:val="auto"/>
                <w:kern w:val="0"/>
                <w:sz w:val="18"/>
                <w:szCs w:val="18"/>
              </w:rPr>
            </w:pPr>
          </w:p>
        </w:tc>
        <w:tc>
          <w:tcPr>
            <w:tcW w:w="720" w:type="dxa"/>
            <w:gridSpan w:val="2"/>
            <w:shd w:val="clear" w:color="auto" w:fill="auto"/>
            <w:vAlign w:val="center"/>
          </w:tcPr>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关系</w:t>
            </w:r>
          </w:p>
        </w:tc>
        <w:tc>
          <w:tcPr>
            <w:tcW w:w="2252" w:type="dxa"/>
            <w:gridSpan w:val="2"/>
            <w:shd w:val="clear" w:color="auto" w:fill="auto"/>
            <w:vAlign w:val="center"/>
          </w:tcPr>
          <w:p>
            <w:pPr>
              <w:widowControl/>
              <w:adjustRightInd w:val="0"/>
              <w:snapToGrid w:val="0"/>
              <w:jc w:val="left"/>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1636" w:type="dxa"/>
            <w:vMerge w:val="continue"/>
            <w:vAlign w:val="center"/>
          </w:tcPr>
          <w:p>
            <w:pPr>
              <w:widowControl/>
              <w:adjustRightInd w:val="0"/>
              <w:snapToGrid w:val="0"/>
              <w:jc w:val="left"/>
              <w:rPr>
                <w:rFonts w:ascii="宋体" w:hAnsi="宋体" w:cs="宋体"/>
                <w:color w:val="auto"/>
                <w:kern w:val="0"/>
                <w:sz w:val="18"/>
                <w:szCs w:val="18"/>
              </w:rPr>
            </w:pPr>
          </w:p>
        </w:tc>
        <w:tc>
          <w:tcPr>
            <w:tcW w:w="7894" w:type="dxa"/>
            <w:gridSpan w:val="12"/>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参保信息变更</w:t>
            </w:r>
            <w:r>
              <w:rPr>
                <w:rFonts w:ascii="宋体" w:hAnsi="宋体" w:cs="宋体"/>
                <w:color w:val="auto"/>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636" w:type="dxa"/>
            <w:vMerge w:val="continue"/>
            <w:vAlign w:val="center"/>
          </w:tcPr>
          <w:p>
            <w:pPr>
              <w:widowControl/>
              <w:adjustRightInd w:val="0"/>
              <w:snapToGrid w:val="0"/>
              <w:jc w:val="left"/>
              <w:rPr>
                <w:rFonts w:ascii="宋体" w:hAnsi="宋体" w:cs="宋体"/>
                <w:color w:val="auto"/>
                <w:kern w:val="0"/>
                <w:sz w:val="18"/>
                <w:szCs w:val="18"/>
              </w:rPr>
            </w:pPr>
          </w:p>
        </w:tc>
        <w:tc>
          <w:tcPr>
            <w:tcW w:w="1230" w:type="dxa"/>
            <w:shd w:val="clear" w:color="auto" w:fill="auto"/>
            <w:vAlign w:val="center"/>
          </w:tcPr>
          <w:p>
            <w:pPr>
              <w:widowControl/>
              <w:adjustRightInd w:val="0"/>
              <w:snapToGrid w:val="0"/>
              <w:jc w:val="left"/>
              <w:rPr>
                <w:rFonts w:ascii="宋体" w:hAnsi="宋体" w:cs="宋体"/>
                <w:b/>
                <w:bCs/>
                <w:color w:val="auto"/>
                <w:kern w:val="0"/>
                <w:sz w:val="18"/>
                <w:szCs w:val="18"/>
              </w:rPr>
            </w:pPr>
            <w:r>
              <w:rPr>
                <w:rFonts w:hint="eastAsia" w:ascii="宋体" w:hAnsi="宋体" w:cs="宋体"/>
                <w:color w:val="auto"/>
                <w:kern w:val="0"/>
                <w:sz w:val="18"/>
                <w:szCs w:val="18"/>
              </w:rPr>
              <w:t xml:space="preserve">个人编号  </w:t>
            </w:r>
          </w:p>
        </w:tc>
        <w:tc>
          <w:tcPr>
            <w:tcW w:w="2460" w:type="dxa"/>
            <w:gridSpan w:val="4"/>
            <w:shd w:val="clear" w:color="auto" w:fill="auto"/>
            <w:vAlign w:val="center"/>
          </w:tcPr>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 xml:space="preserve">              </w:t>
            </w:r>
          </w:p>
        </w:tc>
        <w:tc>
          <w:tcPr>
            <w:tcW w:w="1136" w:type="dxa"/>
            <w:gridSpan w:val="2"/>
            <w:shd w:val="clear" w:color="auto" w:fill="auto"/>
            <w:vAlign w:val="center"/>
          </w:tcPr>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变更事项</w:t>
            </w:r>
          </w:p>
        </w:tc>
        <w:tc>
          <w:tcPr>
            <w:tcW w:w="3066" w:type="dxa"/>
            <w:gridSpan w:val="5"/>
            <w:shd w:val="clear" w:color="auto" w:fill="auto"/>
            <w:vAlign w:val="center"/>
          </w:tcPr>
          <w:p>
            <w:pPr>
              <w:widowControl/>
              <w:adjustRightInd w:val="0"/>
              <w:snapToGrid w:val="0"/>
              <w:jc w:val="left"/>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636" w:type="dxa"/>
            <w:vMerge w:val="continue"/>
            <w:vAlign w:val="center"/>
          </w:tcPr>
          <w:p>
            <w:pPr>
              <w:widowControl/>
              <w:adjustRightInd w:val="0"/>
              <w:snapToGrid w:val="0"/>
              <w:jc w:val="left"/>
              <w:rPr>
                <w:rFonts w:ascii="宋体" w:hAnsi="宋体" w:cs="宋体"/>
                <w:color w:val="auto"/>
                <w:kern w:val="0"/>
                <w:sz w:val="18"/>
                <w:szCs w:val="18"/>
              </w:rPr>
            </w:pPr>
          </w:p>
        </w:tc>
        <w:tc>
          <w:tcPr>
            <w:tcW w:w="1230" w:type="dxa"/>
            <w:shd w:val="clear" w:color="auto" w:fill="auto"/>
            <w:vAlign w:val="center"/>
          </w:tcPr>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变更前</w:t>
            </w:r>
          </w:p>
        </w:tc>
        <w:tc>
          <w:tcPr>
            <w:tcW w:w="2460" w:type="dxa"/>
            <w:gridSpan w:val="4"/>
            <w:shd w:val="clear" w:color="auto" w:fill="auto"/>
            <w:vAlign w:val="center"/>
          </w:tcPr>
          <w:p>
            <w:pPr>
              <w:widowControl/>
              <w:adjustRightInd w:val="0"/>
              <w:snapToGrid w:val="0"/>
              <w:jc w:val="left"/>
              <w:rPr>
                <w:rFonts w:ascii="宋体" w:hAnsi="宋体" w:cs="宋体"/>
                <w:color w:val="auto"/>
                <w:kern w:val="0"/>
                <w:sz w:val="18"/>
                <w:szCs w:val="18"/>
              </w:rPr>
            </w:pPr>
          </w:p>
        </w:tc>
        <w:tc>
          <w:tcPr>
            <w:tcW w:w="1136" w:type="dxa"/>
            <w:gridSpan w:val="2"/>
            <w:shd w:val="clear" w:color="auto" w:fill="auto"/>
            <w:vAlign w:val="center"/>
          </w:tcPr>
          <w:p>
            <w:pPr>
              <w:widowControl/>
              <w:adjustRightInd w:val="0"/>
              <w:snapToGrid w:val="0"/>
              <w:jc w:val="left"/>
              <w:rPr>
                <w:rFonts w:eastAsia="Times New Roman"/>
                <w:color w:val="auto"/>
                <w:kern w:val="0"/>
                <w:sz w:val="20"/>
                <w:szCs w:val="20"/>
              </w:rPr>
            </w:pPr>
            <w:r>
              <w:rPr>
                <w:rFonts w:hint="eastAsia" w:ascii="宋体" w:hAnsi="宋体" w:cs="宋体"/>
                <w:color w:val="auto"/>
                <w:kern w:val="0"/>
                <w:sz w:val="18"/>
                <w:szCs w:val="18"/>
              </w:rPr>
              <w:t>变更后</w:t>
            </w:r>
          </w:p>
        </w:tc>
        <w:tc>
          <w:tcPr>
            <w:tcW w:w="3066" w:type="dxa"/>
            <w:gridSpan w:val="5"/>
            <w:shd w:val="clear" w:color="auto" w:fill="auto"/>
            <w:vAlign w:val="center"/>
          </w:tcPr>
          <w:p>
            <w:pPr>
              <w:widowControl/>
              <w:adjustRightInd w:val="0"/>
              <w:snapToGrid w:val="0"/>
              <w:jc w:val="left"/>
              <w:rPr>
                <w:rFonts w:eastAsia="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jc w:val="center"/>
        </w:trPr>
        <w:tc>
          <w:tcPr>
            <w:tcW w:w="1636" w:type="dxa"/>
            <w:vMerge w:val="continue"/>
            <w:vAlign w:val="center"/>
          </w:tcPr>
          <w:p>
            <w:pPr>
              <w:widowControl/>
              <w:adjustRightInd w:val="0"/>
              <w:snapToGrid w:val="0"/>
              <w:jc w:val="left"/>
              <w:rPr>
                <w:rFonts w:ascii="宋体" w:hAnsi="宋体" w:cs="宋体"/>
                <w:color w:val="auto"/>
                <w:kern w:val="0"/>
                <w:sz w:val="18"/>
                <w:szCs w:val="18"/>
              </w:rPr>
            </w:pPr>
          </w:p>
        </w:tc>
        <w:tc>
          <w:tcPr>
            <w:tcW w:w="7894" w:type="dxa"/>
            <w:gridSpan w:val="12"/>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业务办理须知</w:t>
            </w:r>
          </w:p>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1.灵活就业人员可选择按季、半年、年缴纳当年基本医疗保险费，要求在季、半年、年的第一个月足额缴费。</w:t>
            </w:r>
            <w:r>
              <w:rPr>
                <w:rFonts w:hint="eastAsia" w:ascii="宋体" w:hAnsi="宋体" w:cs="宋体"/>
                <w:color w:val="auto"/>
                <w:kern w:val="0"/>
                <w:sz w:val="18"/>
                <w:szCs w:val="18"/>
              </w:rPr>
              <w:br w:type="textWrapping"/>
            </w:r>
            <w:r>
              <w:rPr>
                <w:rFonts w:hint="eastAsia" w:ascii="宋体" w:hAnsi="宋体" w:cs="宋体"/>
                <w:color w:val="auto"/>
                <w:kern w:val="0"/>
                <w:sz w:val="18"/>
                <w:szCs w:val="18"/>
              </w:rPr>
              <w:t>2.大额医疗费用统筹须每年1月底前缴纳。</w:t>
            </w:r>
            <w:r>
              <w:rPr>
                <w:rFonts w:hint="eastAsia" w:ascii="宋体" w:hAnsi="宋体" w:cs="宋体"/>
                <w:color w:val="auto"/>
                <w:kern w:val="0"/>
                <w:sz w:val="18"/>
                <w:szCs w:val="18"/>
              </w:rPr>
              <w:br w:type="textWrapping"/>
            </w:r>
            <w:r>
              <w:rPr>
                <w:rFonts w:hint="eastAsia" w:ascii="宋体" w:hAnsi="宋体" w:cs="宋体"/>
                <w:color w:val="auto"/>
                <w:kern w:val="0"/>
                <w:sz w:val="18"/>
                <w:szCs w:val="18"/>
              </w:rPr>
              <w:t>3.每年基本医疗保险的缴费基数以上年度全区城镇单位在岗职工平均工资数据为准，请参保人员注意调整后的缴费金额;</w:t>
            </w:r>
            <w:r>
              <w:rPr>
                <w:rFonts w:hint="eastAsia" w:ascii="宋体" w:hAnsi="宋体" w:cs="宋体"/>
                <w:color w:val="auto"/>
                <w:kern w:val="0"/>
                <w:sz w:val="18"/>
                <w:szCs w:val="18"/>
              </w:rPr>
              <w:br w:type="textWrapping"/>
            </w:r>
            <w:r>
              <w:rPr>
                <w:rFonts w:hint="eastAsia" w:ascii="宋体" w:hAnsi="宋体" w:cs="宋体"/>
                <w:color w:val="auto"/>
                <w:kern w:val="0"/>
                <w:sz w:val="18"/>
                <w:szCs w:val="18"/>
              </w:rPr>
              <w:t>4.灵活就业人员新参保或欠缴3个月以上的需足额缴费后第三个月才能享受待遇；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5.办理新参保、续保业务的需提供身份证、户口簿原件和复印件，不在户籍地参保的，还需提供居住证。</w:t>
            </w:r>
            <w:r>
              <w:rPr>
                <w:rFonts w:hint="eastAsia" w:ascii="宋体" w:hAnsi="宋体" w:cs="宋体"/>
                <w:color w:val="auto"/>
                <w:kern w:val="0"/>
                <w:sz w:val="18"/>
                <w:szCs w:val="18"/>
              </w:rPr>
              <w:br w:type="textWrapping"/>
            </w:r>
            <w:r>
              <w:rPr>
                <w:rFonts w:hint="eastAsia" w:ascii="宋体" w:hAnsi="宋体" w:cs="宋体"/>
                <w:color w:val="auto"/>
                <w:kern w:val="0"/>
                <w:sz w:val="18"/>
                <w:szCs w:val="18"/>
              </w:rPr>
              <w:t>6.统筹基金、住院保险变更为统账结合后，均不允许变更为其它参保方式；</w:t>
            </w:r>
            <w:r>
              <w:rPr>
                <w:rFonts w:hint="eastAsia" w:ascii="宋体" w:hAnsi="宋体" w:cs="宋体"/>
                <w:color w:val="auto"/>
                <w:kern w:val="0"/>
                <w:sz w:val="18"/>
                <w:szCs w:val="18"/>
              </w:rPr>
              <w:br w:type="textWrapping"/>
            </w:r>
            <w:r>
              <w:rPr>
                <w:rFonts w:hint="eastAsia" w:ascii="宋体" w:hAnsi="宋体" w:cs="宋体"/>
                <w:color w:val="auto"/>
                <w:kern w:val="0"/>
                <w:sz w:val="18"/>
                <w:szCs w:val="18"/>
              </w:rPr>
              <w:t>7.查询个人缴费信息方式：</w:t>
            </w:r>
            <w:r>
              <w:rPr>
                <w:rFonts w:hint="eastAsia" w:ascii="宋体" w:hAnsi="宋体" w:cs="宋体"/>
                <w:color w:val="auto"/>
                <w:kern w:val="0"/>
                <w:sz w:val="18"/>
                <w:szCs w:val="18"/>
              </w:rPr>
              <w:br w:type="textWrapping"/>
            </w:r>
            <w:r>
              <w:rPr>
                <w:rFonts w:hint="eastAsia" w:ascii="宋体" w:hAnsi="宋体" w:cs="宋体"/>
                <w:color w:val="auto"/>
                <w:kern w:val="0"/>
                <w:sz w:val="18"/>
                <w:szCs w:val="18"/>
              </w:rPr>
              <w:t>（1）自助一体机查询</w:t>
            </w:r>
            <w:r>
              <w:rPr>
                <w:rFonts w:hint="eastAsia" w:ascii="宋体" w:hAnsi="宋体" w:cs="宋体"/>
                <w:color w:val="auto"/>
                <w:kern w:val="0"/>
                <w:sz w:val="18"/>
                <w:szCs w:val="18"/>
              </w:rPr>
              <w:br w:type="textWrapping"/>
            </w:r>
            <w:r>
              <w:rPr>
                <w:rFonts w:hint="eastAsia" w:ascii="宋体" w:hAnsi="宋体" w:cs="宋体"/>
                <w:color w:val="auto"/>
                <w:kern w:val="0"/>
                <w:sz w:val="18"/>
                <w:szCs w:val="18"/>
              </w:rPr>
              <w:t>（2）关注“广西医保”微信公众号</w:t>
            </w:r>
            <w:r>
              <w:rPr>
                <w:rFonts w:hint="eastAsia" w:ascii="宋体" w:hAnsi="宋体" w:cs="宋体"/>
                <w:color w:val="auto"/>
                <w:kern w:val="0"/>
                <w:sz w:val="18"/>
                <w:szCs w:val="18"/>
              </w:rPr>
              <w:br w:type="textWrapping"/>
            </w:r>
            <w:r>
              <w:rPr>
                <w:rFonts w:hint="eastAsia" w:ascii="宋体" w:hAnsi="宋体" w:cs="宋体"/>
                <w:color w:val="auto"/>
                <w:kern w:val="0"/>
                <w:sz w:val="18"/>
                <w:szCs w:val="18"/>
              </w:rPr>
              <w:t>（3）广西壮族自治区医保局官网：http://ybj.gxzf.gov.cn/</w:t>
            </w:r>
          </w:p>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我承诺已认真阅读以上《业务办理须知》，如实填写表单，并依照《业务办理须知》的要求办理社会保险业务。</w:t>
            </w:r>
          </w:p>
          <w:p>
            <w:pPr>
              <w:widowControl/>
              <w:wordWrap w:val="0"/>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签字：       </w:t>
            </w:r>
          </w:p>
        </w:tc>
      </w:tr>
    </w:tbl>
    <w:p>
      <w:pPr>
        <w:pStyle w:val="275"/>
        <w:numPr>
          <w:ilvl w:val="1"/>
          <w:numId w:val="35"/>
        </w:numPr>
        <w:spacing w:before="156" w:after="156"/>
        <w:rPr>
          <w:color w:val="auto"/>
        </w:rPr>
      </w:pPr>
      <w:r>
        <w:rPr>
          <w:color w:val="auto"/>
        </w:rPr>
        <w:t>灵活就业</w:t>
      </w:r>
      <w:r>
        <w:rPr>
          <w:rFonts w:hint="eastAsia"/>
          <w:color w:val="auto"/>
        </w:rPr>
        <w:t>“</w:t>
      </w:r>
      <w:r>
        <w:rPr>
          <w:color w:val="auto"/>
        </w:rPr>
        <w:t>全链通办</w:t>
      </w:r>
      <w:r>
        <w:rPr>
          <w:rFonts w:hint="eastAsia"/>
          <w:color w:val="auto"/>
        </w:rPr>
        <w:t>”</w:t>
      </w:r>
      <w:r>
        <w:rPr>
          <w:color w:val="auto"/>
        </w:rPr>
        <w:t>申请表</w:t>
      </w:r>
      <w:r>
        <w:rPr>
          <w:rFonts w:hint="eastAsia" w:ascii="宋体" w:hAnsi="宋体" w:eastAsia="宋体" w:cs="宋体"/>
          <w:color w:val="auto"/>
        </w:rPr>
        <w:t>（续）</w:t>
      </w:r>
    </w:p>
    <w:tbl>
      <w:tblPr>
        <w:tblStyle w:val="88"/>
        <w:tblW w:w="97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8"/>
        <w:gridCol w:w="658"/>
        <w:gridCol w:w="658"/>
        <w:gridCol w:w="658"/>
        <w:gridCol w:w="658"/>
        <w:gridCol w:w="658"/>
        <w:gridCol w:w="658"/>
        <w:gridCol w:w="658"/>
        <w:gridCol w:w="658"/>
        <w:gridCol w:w="658"/>
        <w:gridCol w:w="658"/>
        <w:gridCol w:w="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468" w:type="dxa"/>
            <w:vMerge w:val="restart"/>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灵活就业人员社会保险费申报</w:t>
            </w:r>
          </w:p>
        </w:tc>
        <w:tc>
          <w:tcPr>
            <w:tcW w:w="1316" w:type="dxa"/>
            <w:gridSpan w:val="2"/>
            <w:shd w:val="clear" w:color="auto" w:fill="auto"/>
            <w:vAlign w:val="center"/>
          </w:tcPr>
          <w:p>
            <w:pPr>
              <w:rPr>
                <w:rFonts w:ascii="宋体" w:hAnsi="宋体" w:cs="宋体"/>
                <w:color w:val="auto"/>
                <w:kern w:val="0"/>
                <w:sz w:val="18"/>
                <w:szCs w:val="18"/>
              </w:rPr>
            </w:pPr>
            <w:r>
              <w:rPr>
                <w:rFonts w:hint="eastAsia" w:ascii="宋体" w:hAnsi="宋体" w:cs="宋体"/>
                <w:color w:val="auto"/>
                <w:kern w:val="0"/>
                <w:sz w:val="18"/>
                <w:szCs w:val="18"/>
              </w:rPr>
              <w:t>纳税人识别号</w:t>
            </w:r>
          </w:p>
        </w:tc>
        <w:tc>
          <w:tcPr>
            <w:tcW w:w="1974" w:type="dxa"/>
            <w:gridSpan w:val="3"/>
            <w:shd w:val="clear" w:color="auto" w:fill="auto"/>
            <w:vAlign w:val="center"/>
          </w:tcPr>
          <w:p>
            <w:pPr>
              <w:widowControl/>
              <w:adjustRightInd w:val="0"/>
              <w:snapToGrid w:val="0"/>
              <w:jc w:val="center"/>
              <w:rPr>
                <w:rFonts w:ascii="宋体" w:hAnsi="宋体" w:cs="宋体"/>
                <w:color w:val="auto"/>
                <w:kern w:val="0"/>
                <w:sz w:val="18"/>
                <w:szCs w:val="18"/>
              </w:rPr>
            </w:pPr>
          </w:p>
        </w:tc>
        <w:tc>
          <w:tcPr>
            <w:tcW w:w="1974" w:type="dxa"/>
            <w:gridSpan w:val="3"/>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社会保险费管理码</w:t>
            </w:r>
          </w:p>
        </w:tc>
        <w:tc>
          <w:tcPr>
            <w:tcW w:w="1978" w:type="dxa"/>
            <w:gridSpan w:val="3"/>
            <w:shd w:val="clear" w:color="auto" w:fill="auto"/>
            <w:vAlign w:val="center"/>
          </w:tcPr>
          <w:p>
            <w:pPr>
              <w:widowControl/>
              <w:adjustRightInd w:val="0"/>
              <w:snapToGrid w:val="0"/>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0" w:hRule="atLeast"/>
          <w:jc w:val="center"/>
        </w:trPr>
        <w:tc>
          <w:tcPr>
            <w:tcW w:w="2468" w:type="dxa"/>
            <w:vMerge w:val="continue"/>
            <w:vAlign w:val="center"/>
          </w:tcPr>
          <w:p>
            <w:pPr>
              <w:widowControl/>
              <w:adjustRightInd w:val="0"/>
              <w:snapToGrid w:val="0"/>
              <w:jc w:val="left"/>
              <w:rPr>
                <w:rFonts w:ascii="宋体" w:hAnsi="宋体" w:cs="宋体"/>
                <w:color w:val="auto"/>
                <w:kern w:val="0"/>
                <w:sz w:val="18"/>
                <w:szCs w:val="18"/>
              </w:rPr>
            </w:pPr>
          </w:p>
        </w:tc>
        <w:tc>
          <w:tcPr>
            <w:tcW w:w="658"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序号</w:t>
            </w:r>
          </w:p>
        </w:tc>
        <w:tc>
          <w:tcPr>
            <w:tcW w:w="658"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社会保险编码</w:t>
            </w:r>
          </w:p>
        </w:tc>
        <w:tc>
          <w:tcPr>
            <w:tcW w:w="658"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费种</w:t>
            </w:r>
          </w:p>
        </w:tc>
        <w:tc>
          <w:tcPr>
            <w:tcW w:w="658"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品目</w:t>
            </w:r>
          </w:p>
        </w:tc>
        <w:tc>
          <w:tcPr>
            <w:tcW w:w="658"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子目</w:t>
            </w:r>
          </w:p>
        </w:tc>
        <w:tc>
          <w:tcPr>
            <w:tcW w:w="658"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费款所属期起</w:t>
            </w:r>
          </w:p>
        </w:tc>
        <w:tc>
          <w:tcPr>
            <w:tcW w:w="658"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费款所属期止</w:t>
            </w:r>
          </w:p>
        </w:tc>
        <w:tc>
          <w:tcPr>
            <w:tcW w:w="658" w:type="dxa"/>
            <w:shd w:val="clear" w:color="auto" w:fill="auto"/>
            <w:vAlign w:val="center"/>
          </w:tcPr>
          <w:p>
            <w:pPr>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缴费基数</w:t>
            </w:r>
          </w:p>
        </w:tc>
        <w:tc>
          <w:tcPr>
            <w:tcW w:w="658" w:type="dxa"/>
            <w:shd w:val="clear" w:color="auto" w:fill="auto"/>
            <w:vAlign w:val="center"/>
          </w:tcPr>
          <w:p>
            <w:pPr>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费率</w:t>
            </w:r>
          </w:p>
        </w:tc>
        <w:tc>
          <w:tcPr>
            <w:tcW w:w="658"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应缴费额</w:t>
            </w:r>
          </w:p>
        </w:tc>
        <w:tc>
          <w:tcPr>
            <w:tcW w:w="662"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实缴费额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468" w:type="dxa"/>
            <w:vMerge w:val="continue"/>
            <w:vAlign w:val="center"/>
          </w:tcPr>
          <w:p>
            <w:pPr>
              <w:widowControl/>
              <w:adjustRightInd w:val="0"/>
              <w:snapToGrid w:val="0"/>
              <w:jc w:val="left"/>
              <w:rPr>
                <w:rFonts w:ascii="宋体" w:hAnsi="宋体" w:cs="宋体"/>
                <w:color w:val="auto"/>
                <w:kern w:val="0"/>
                <w:sz w:val="18"/>
                <w:szCs w:val="18"/>
              </w:rPr>
            </w:pPr>
          </w:p>
        </w:tc>
        <w:tc>
          <w:tcPr>
            <w:tcW w:w="658" w:type="dxa"/>
            <w:shd w:val="clear" w:color="auto" w:fill="auto"/>
            <w:vAlign w:val="center"/>
          </w:tcPr>
          <w:p>
            <w:pPr>
              <w:widowControl/>
              <w:adjustRightInd w:val="0"/>
              <w:snapToGrid w:val="0"/>
              <w:jc w:val="center"/>
              <w:rPr>
                <w:rFonts w:ascii="宋体" w:hAnsi="宋体" w:cs="宋体"/>
                <w:color w:val="auto"/>
                <w:kern w:val="0"/>
                <w:sz w:val="18"/>
                <w:szCs w:val="18"/>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62" w:type="dxa"/>
            <w:shd w:val="clear" w:color="auto" w:fill="auto"/>
            <w:vAlign w:val="center"/>
          </w:tcPr>
          <w:p>
            <w:pPr>
              <w:widowControl/>
              <w:adjustRightInd w:val="0"/>
              <w:snapToGrid w:val="0"/>
              <w:jc w:val="left"/>
              <w:rPr>
                <w:rFonts w:eastAsia="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0" w:hRule="atLeast"/>
          <w:jc w:val="center"/>
        </w:trPr>
        <w:tc>
          <w:tcPr>
            <w:tcW w:w="2468" w:type="dxa"/>
            <w:vMerge w:val="continue"/>
            <w:vAlign w:val="center"/>
          </w:tcPr>
          <w:p>
            <w:pPr>
              <w:widowControl/>
              <w:adjustRightInd w:val="0"/>
              <w:snapToGrid w:val="0"/>
              <w:jc w:val="left"/>
              <w:rPr>
                <w:rFonts w:ascii="宋体" w:hAnsi="宋体" w:cs="宋体"/>
                <w:color w:val="auto"/>
                <w:kern w:val="0"/>
                <w:sz w:val="18"/>
                <w:szCs w:val="18"/>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58" w:type="dxa"/>
            <w:shd w:val="clear" w:color="auto" w:fill="auto"/>
            <w:vAlign w:val="center"/>
          </w:tcPr>
          <w:p>
            <w:pPr>
              <w:widowControl/>
              <w:adjustRightInd w:val="0"/>
              <w:snapToGrid w:val="0"/>
              <w:jc w:val="left"/>
              <w:rPr>
                <w:rFonts w:eastAsia="Times New Roman"/>
                <w:color w:val="auto"/>
                <w:kern w:val="0"/>
                <w:sz w:val="20"/>
                <w:szCs w:val="20"/>
              </w:rPr>
            </w:pPr>
          </w:p>
        </w:tc>
        <w:tc>
          <w:tcPr>
            <w:tcW w:w="662" w:type="dxa"/>
            <w:shd w:val="clear" w:color="auto" w:fill="auto"/>
            <w:vAlign w:val="center"/>
          </w:tcPr>
          <w:p>
            <w:pPr>
              <w:widowControl/>
              <w:adjustRightInd w:val="0"/>
              <w:snapToGrid w:val="0"/>
              <w:jc w:val="left"/>
              <w:rPr>
                <w:rFonts w:eastAsia="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jc w:val="center"/>
        </w:trPr>
        <w:tc>
          <w:tcPr>
            <w:tcW w:w="2468" w:type="dxa"/>
            <w:shd w:val="clear" w:color="auto" w:fill="auto"/>
            <w:noWrap/>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送达方式</w:t>
            </w:r>
          </w:p>
        </w:tc>
        <w:tc>
          <w:tcPr>
            <w:tcW w:w="7242" w:type="dxa"/>
            <w:gridSpan w:val="11"/>
            <w:shd w:val="clear" w:color="auto" w:fill="auto"/>
            <w:vAlign w:val="center"/>
          </w:tcPr>
          <w:p>
            <w:pPr>
              <w:widowControl/>
              <w:adjustRightInd w:val="0"/>
              <w:snapToGrid w:val="0"/>
              <w:rPr>
                <w:rFonts w:ascii="宋体" w:hAnsi="宋体" w:cs="宋体"/>
                <w:color w:val="auto"/>
                <w:kern w:val="0"/>
                <w:sz w:val="18"/>
                <w:szCs w:val="18"/>
              </w:rPr>
            </w:pPr>
            <w:r>
              <w:rPr>
                <w:rFonts w:hint="eastAsia" w:ascii="宋体" w:hAnsi="宋体" w:cs="宋体"/>
                <w:color w:val="auto"/>
                <w:kern w:val="0"/>
                <w:sz w:val="18"/>
                <w:szCs w:val="18"/>
              </w:rPr>
              <w:t>就业创业证 □邮寄送达（免费）□自行领取</w:t>
            </w:r>
          </w:p>
          <w:p>
            <w:pPr>
              <w:widowControl/>
              <w:adjustRightInd w:val="0"/>
              <w:snapToGrid w:val="0"/>
              <w:jc w:val="left"/>
              <w:rPr>
                <w:rFonts w:ascii="宋体" w:hAnsi="宋体" w:cs="宋体"/>
                <w:color w:val="auto"/>
                <w:kern w:val="0"/>
                <w:sz w:val="18"/>
                <w:szCs w:val="18"/>
              </w:rPr>
            </w:pPr>
            <w:r>
              <w:rPr>
                <w:rFonts w:hint="eastAsia" w:ascii="宋体" w:hAnsi="宋体" w:cs="宋体"/>
                <w:color w:val="auto"/>
                <w:kern w:val="0"/>
                <w:sz w:val="18"/>
                <w:szCs w:val="18"/>
              </w:rPr>
              <w:t>调档函     □邮寄送达（免费）</w:t>
            </w:r>
            <w:r>
              <w:rPr>
                <w:rFonts w:hint="eastAsia" w:ascii="宋体" w:hAnsi="宋体" w:cs="宋体"/>
                <w:color w:val="auto"/>
                <w:kern w:val="0"/>
                <w:sz w:val="18"/>
                <w:szCs w:val="18"/>
              </w:rPr>
              <w:sym w:font="Wingdings 2" w:char="00A3"/>
            </w:r>
            <w:r>
              <w:rPr>
                <w:rFonts w:hint="eastAsia" w:ascii="宋体" w:hAnsi="宋体" w:cs="宋体"/>
                <w:color w:val="auto"/>
                <w:kern w:val="0"/>
                <w:sz w:val="18"/>
                <w:szCs w:val="18"/>
              </w:rPr>
              <w:t xml:space="preserve">窗口领取 □网上下载 </w:t>
            </w:r>
          </w:p>
          <w:p>
            <w:pPr>
              <w:widowControl/>
              <w:adjustRightInd w:val="0"/>
              <w:snapToGrid w:val="0"/>
              <w:rPr>
                <w:rFonts w:ascii="宋体" w:hAnsi="宋体" w:cs="宋体"/>
                <w:color w:val="auto"/>
                <w:kern w:val="0"/>
                <w:sz w:val="18"/>
                <w:szCs w:val="18"/>
              </w:rPr>
            </w:pPr>
            <w:r>
              <w:rPr>
                <w:rFonts w:hint="eastAsia" w:ascii="宋体" w:hAnsi="宋体" w:cs="宋体"/>
                <w:color w:val="auto"/>
                <w:kern w:val="0"/>
                <w:sz w:val="18"/>
                <w:szCs w:val="18"/>
              </w:rPr>
              <w:t xml:space="preserve">邮寄地址： </w:t>
            </w:r>
            <w:r>
              <w:rPr>
                <w:rFonts w:ascii="宋体" w:hAnsi="宋体" w:cs="宋体"/>
                <w:color w:val="auto"/>
                <w:kern w:val="0"/>
                <w:sz w:val="18"/>
                <w:szCs w:val="18"/>
                <w:u w:val="single"/>
              </w:rPr>
              <w:t xml:space="preserve">                                                     </w:t>
            </w:r>
          </w:p>
          <w:p>
            <w:pPr>
              <w:widowControl/>
              <w:adjustRightInd w:val="0"/>
              <w:snapToGrid w:val="0"/>
              <w:rPr>
                <w:rFonts w:ascii="宋体" w:hAnsi="宋体" w:cs="宋体"/>
                <w:color w:val="auto"/>
                <w:kern w:val="0"/>
                <w:sz w:val="18"/>
                <w:szCs w:val="18"/>
              </w:rPr>
            </w:pPr>
            <w:r>
              <w:rPr>
                <w:rFonts w:hint="eastAsia" w:ascii="宋体" w:hAnsi="宋体" w:cs="宋体"/>
                <w:color w:val="auto"/>
                <w:kern w:val="0"/>
                <w:sz w:val="18"/>
                <w:szCs w:val="18"/>
              </w:rPr>
              <w:t>收件人：</w:t>
            </w:r>
            <w:r>
              <w:rPr>
                <w:rFonts w:ascii="宋体" w:hAnsi="宋体" w:cs="宋体"/>
                <w:color w:val="auto"/>
                <w:kern w:val="0"/>
                <w:sz w:val="18"/>
                <w:szCs w:val="18"/>
                <w:u w:val="single"/>
              </w:rPr>
              <w:t xml:space="preserve">                   </w:t>
            </w:r>
            <w:r>
              <w:rPr>
                <w:rFonts w:ascii="宋体" w:hAnsi="宋体" w:cs="宋体"/>
                <w:color w:val="auto"/>
                <w:kern w:val="0"/>
                <w:sz w:val="18"/>
                <w:szCs w:val="18"/>
              </w:rPr>
              <w:t xml:space="preserve"> 联系电话：</w:t>
            </w:r>
            <w:r>
              <w:rPr>
                <w:rFonts w:ascii="宋体" w:hAnsi="宋体" w:cs="宋体"/>
                <w:color w:val="auto"/>
                <w:kern w:val="0"/>
                <w:sz w:val="18"/>
                <w:szCs w:val="1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7" w:hRule="atLeast"/>
          <w:jc w:val="center"/>
        </w:trPr>
        <w:tc>
          <w:tcPr>
            <w:tcW w:w="2468" w:type="dxa"/>
            <w:shd w:val="clear" w:color="auto" w:fill="auto"/>
            <w:vAlign w:val="center"/>
          </w:tcPr>
          <w:p>
            <w:pPr>
              <w:widowControl/>
              <w:adjustRightInd w:val="0"/>
              <w:snapToGrid w:val="0"/>
              <w:jc w:val="center"/>
              <w:rPr>
                <w:rFonts w:ascii="宋体" w:hAnsi="宋体" w:cs="宋体"/>
                <w:color w:val="auto"/>
                <w:kern w:val="0"/>
                <w:sz w:val="18"/>
                <w:szCs w:val="18"/>
              </w:rPr>
            </w:pPr>
            <w:r>
              <w:rPr>
                <w:rFonts w:hint="eastAsia" w:ascii="宋体" w:hAnsi="宋体" w:cs="宋体"/>
                <w:color w:val="auto"/>
                <w:kern w:val="0"/>
                <w:sz w:val="18"/>
                <w:szCs w:val="18"/>
              </w:rPr>
              <w:t>备注</w:t>
            </w:r>
          </w:p>
        </w:tc>
        <w:tc>
          <w:tcPr>
            <w:tcW w:w="7242" w:type="dxa"/>
            <w:gridSpan w:val="11"/>
            <w:shd w:val="clear" w:color="auto" w:fill="auto"/>
            <w:vAlign w:val="center"/>
          </w:tcPr>
          <w:p>
            <w:pPr>
              <w:widowControl/>
              <w:adjustRightInd w:val="0"/>
              <w:snapToGrid w:val="0"/>
              <w:rPr>
                <w:rFonts w:ascii="宋体" w:hAnsi="宋体" w:cs="宋体"/>
                <w:color w:val="auto"/>
                <w:kern w:val="0"/>
                <w:sz w:val="18"/>
                <w:szCs w:val="18"/>
              </w:rPr>
            </w:pPr>
            <w:r>
              <w:rPr>
                <w:rFonts w:hint="eastAsia" w:ascii="宋体" w:hAnsi="宋体" w:cs="宋体"/>
                <w:color w:val="auto"/>
                <w:kern w:val="0"/>
                <w:sz w:val="18"/>
                <w:szCs w:val="18"/>
              </w:rPr>
              <w:t xml:space="preserve">                                  </w:t>
            </w:r>
          </w:p>
        </w:tc>
      </w:tr>
    </w:tbl>
    <w:p>
      <w:pPr>
        <w:pStyle w:val="258"/>
        <w:ind w:firstLine="420"/>
        <w:rPr>
          <w:color w:val="auto"/>
        </w:rPr>
        <w:sectPr>
          <w:footerReference r:id="rId5" w:type="default"/>
          <w:footerReference r:id="rId6" w:type="even"/>
          <w:pgSz w:w="11907" w:h="16839"/>
          <w:pgMar w:top="2098" w:right="1474" w:bottom="1984" w:left="1587" w:header="1417" w:footer="1134" w:gutter="0"/>
          <w:pgNumType w:start="1"/>
          <w:cols w:space="0" w:num="1"/>
          <w:docGrid w:type="lines" w:linePitch="312" w:charSpace="0"/>
        </w:sectPr>
      </w:pPr>
    </w:p>
    <w:p>
      <w:pPr>
        <w:pStyle w:val="347"/>
        <w:rPr>
          <w:color w:val="auto"/>
        </w:rPr>
      </w:pPr>
      <w:bookmarkStart w:id="114" w:name="_Toc31652"/>
    </w:p>
    <w:p>
      <w:pPr>
        <w:pStyle w:val="348"/>
        <w:rPr>
          <w:color w:val="auto"/>
        </w:rPr>
      </w:pPr>
    </w:p>
    <w:p>
      <w:pPr>
        <w:pStyle w:val="274"/>
        <w:rPr>
          <w:color w:val="auto"/>
        </w:rPr>
      </w:pPr>
      <w:r>
        <w:rPr>
          <w:color w:val="auto"/>
        </w:rPr>
        <w:br w:type="textWrapping"/>
      </w:r>
      <w:bookmarkStart w:id="115" w:name="_Toc107048328"/>
      <w:bookmarkStart w:id="116" w:name="_Toc107048379"/>
      <w:bookmarkStart w:id="117" w:name="_Toc106197369"/>
      <w:bookmarkStart w:id="118" w:name="_Toc106350599"/>
      <w:bookmarkStart w:id="119" w:name="_Toc107072142"/>
      <w:r>
        <w:rPr>
          <w:rFonts w:hint="eastAsia"/>
          <w:color w:val="auto"/>
        </w:rPr>
        <w:t>（资料性）</w:t>
      </w:r>
      <w:r>
        <w:rPr>
          <w:color w:val="auto"/>
        </w:rPr>
        <w:br w:type="textWrapping"/>
      </w:r>
      <w:r>
        <w:rPr>
          <w:rFonts w:hint="eastAsia"/>
          <w:color w:val="auto"/>
        </w:rPr>
        <w:t>灵活就业“全链通办”业务流程图</w:t>
      </w:r>
      <w:bookmarkEnd w:id="114"/>
      <w:bookmarkEnd w:id="115"/>
      <w:bookmarkEnd w:id="116"/>
      <w:bookmarkEnd w:id="117"/>
      <w:bookmarkEnd w:id="118"/>
      <w:bookmarkEnd w:id="119"/>
    </w:p>
    <w:p>
      <w:pPr>
        <w:rPr>
          <w:color w:val="auto"/>
        </w:rPr>
      </w:pPr>
      <w:r>
        <w:rPr>
          <w:rFonts w:hint="eastAsia"/>
          <w:color w:val="auto"/>
        </w:rPr>
        <w:t>灵活就业“全链通办”业务流程图详见图C</w:t>
      </w:r>
      <w:r>
        <w:rPr>
          <w:color w:val="auto"/>
        </w:rPr>
        <w:t>.1</w:t>
      </w:r>
      <w:r>
        <w:rPr>
          <w:rFonts w:hint="eastAsia"/>
          <w:color w:val="auto"/>
        </w:rPr>
        <w:t>。</w:t>
      </w:r>
    </w:p>
    <w:p>
      <w:pPr>
        <w:pStyle w:val="258"/>
        <w:adjustRightInd w:val="0"/>
        <w:snapToGrid w:val="0"/>
        <w:ind w:firstLine="0" w:firstLineChars="0"/>
        <w:rPr>
          <w:color w:val="auto"/>
        </w:rPr>
      </w:pPr>
    </w:p>
    <w:p>
      <w:pPr>
        <w:pStyle w:val="281"/>
        <w:spacing w:before="156" w:after="156"/>
        <w:rPr>
          <w:color w:val="auto"/>
        </w:rPr>
      </w:pPr>
      <w:r>
        <w:rPr>
          <w:rFonts w:hint="eastAsia"/>
          <w:color w:val="auto"/>
        </w:rPr>
        <w:t>灵活就业“全链通办”业务流程图</w:t>
      </w:r>
    </w:p>
    <w:p>
      <w:pPr>
        <w:rPr>
          <w:color w:val="auto"/>
        </w:rPr>
      </w:pPr>
    </w:p>
    <w:p>
      <w:pPr>
        <w:pStyle w:val="56"/>
        <w:rPr>
          <w:color w:val="auto"/>
        </w:rPr>
      </w:pPr>
    </w:p>
    <w:p>
      <w:pPr>
        <w:jc w:val="center"/>
        <w:rPr>
          <w:rFonts w:ascii="宋体" w:hAnsi="宋体"/>
          <w:color w:val="auto"/>
        </w:rPr>
      </w:pPr>
      <w:bookmarkStart w:id="120" w:name="终结线"/>
      <w:bookmarkEnd w:id="120"/>
      <w:r>
        <w:rPr>
          <w:rFonts w:hint="eastAsia" w:ascii="黑体" w:hAnsi="黑体" w:eastAsia="黑体"/>
          <w:b/>
          <w:color w:val="auto"/>
        </w:rPr>
        <w:t>━━━━━━━━━━━</w:t>
      </w:r>
      <w:r>
        <w:rPr>
          <w:color w:val="auto"/>
        </w:rPr>
        <w:drawing>
          <wp:inline distT="0" distB="0" distL="0" distR="0">
            <wp:extent cx="5941060" cy="5194935"/>
            <wp:effectExtent l="0" t="0" r="2540" b="5715"/>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pic:cNvPicPr>
                  </pic:nvPicPr>
                  <pic:blipFill>
                    <a:blip r:embed="rId9" cstate="print">
                      <a:extLst>
                        <a:ext uri="{28A0092B-C50C-407E-A947-70E740481C1C}">
                          <a14:useLocalDpi xmlns:a14="http://schemas.microsoft.com/office/drawing/2010/main" val="false"/>
                        </a:ext>
                      </a:extLst>
                    </a:blip>
                    <a:stretch>
                      <a:fillRect/>
                    </a:stretch>
                  </pic:blipFill>
                  <pic:spPr>
                    <a:xfrm>
                      <a:off x="0" y="0"/>
                      <a:ext cx="5941060" cy="5194935"/>
                    </a:xfrm>
                    <a:prstGeom prst="rect">
                      <a:avLst/>
                    </a:prstGeom>
                  </pic:spPr>
                </pic:pic>
              </a:graphicData>
            </a:graphic>
          </wp:inline>
        </w:drawing>
      </w:r>
    </w:p>
    <w:sectPr>
      <w:pgSz w:w="11907" w:h="16839"/>
      <w:pgMar w:top="1417" w:right="1134" w:bottom="1134" w:left="1417" w:header="1417"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Microsoft YaHei UI">
    <w:altName w:val="文泉驿微米黑"/>
    <w:panose1 w:val="020B0503020204020204"/>
    <w:charset w:val="86"/>
    <w:family w:val="swiss"/>
    <w:pitch w:val="default"/>
    <w:sig w:usb0="00000000" w:usb1="00000000" w:usb2="00000016" w:usb3="00000000" w:csb0="0004001F" w:csb1="00000000"/>
  </w:font>
  <w:font w:name="Britannic Bold">
    <w:altName w:val="Noto Nastaliq Urdu"/>
    <w:panose1 w:val="020B0903060703020204"/>
    <w:charset w:val="00"/>
    <w:family w:val="swiss"/>
    <w:pitch w:val="default"/>
    <w:sig w:usb0="00000000" w:usb1="00000000" w:usb2="00000000" w:usb3="00000000" w:csb0="20000001" w:csb1="00000000"/>
  </w:font>
  <w:font w:name="华文细黑">
    <w:altName w:val="汉仪中等线简"/>
    <w:panose1 w:val="02010600040101010101"/>
    <w:charset w:val="86"/>
    <w:family w:val="auto"/>
    <w:pitch w:val="default"/>
    <w:sig w:usb0="00000000" w:usb1="00000000" w:usb2="00000000" w:usb3="00000000" w:csb0="0004009F" w:csb1="DFD70000"/>
  </w:font>
  <w:font w:name="Arial Black">
    <w:altName w:val="Times New Roman"/>
    <w:panose1 w:val="020B0A04020102020204"/>
    <w:charset w:val="00"/>
    <w:family w:val="swiss"/>
    <w:pitch w:val="default"/>
    <w:sig w:usb0="00000000" w:usb1="00000000" w:usb2="00000000" w:usb3="00000000" w:csb0="6000009F" w:csb1="DFD70000"/>
  </w:font>
  <w:font w:name="Arial Unicode MS">
    <w:altName w:val="Times New Roman"/>
    <w:panose1 w:val="020B0604020202020204"/>
    <w:charset w:val="86"/>
    <w:family w:val="swiss"/>
    <w:pitch w:val="default"/>
    <w:sig w:usb0="00000000" w:usb1="00000000" w:usb2="0000003F" w:usb3="00000000" w:csb0="603F01FF" w:csb1="FFFF0000"/>
  </w:font>
  <w:font w:name="方正小标宋简体">
    <w:panose1 w:val="02000000000000000000"/>
    <w:charset w:val="86"/>
    <w:family w:val="auto"/>
    <w:pitch w:val="default"/>
    <w:sig w:usb0="A00002BF" w:usb1="184F6CFA" w:usb2="00000012" w:usb3="00000000" w:csb0="00040001" w:csb1="00000000"/>
  </w:font>
  <w:font w:name="Wingdings 2">
    <w:panose1 w:val="05020102010507070707"/>
    <w:charset w:val="02"/>
    <w:family w:val="roman"/>
    <w:pitch w:val="default"/>
    <w:sig w:usb0="00000000" w:usb1="00000000" w:usb2="00000000" w:usb3="00000000" w:csb0="80000000" w:csb1="00000000"/>
  </w:font>
  <w:font w:name="等线">
    <w:altName w:val="方正大标宋简体"/>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51"/>
      <w:ind w:right="360" w:firstLine="360"/>
      <w:rPr>
        <w:rStyle w:val="23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51"/>
      <w:ind w:right="360" w:firstLine="360"/>
      <w:rPr>
        <w:rStyle w:val="23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7"/>
      <w:lvlText w:val="%1."/>
      <w:lvlJc w:val="left"/>
      <w:pPr>
        <w:tabs>
          <w:tab w:val="left" w:pos="4735"/>
        </w:tabs>
        <w:ind w:left="4735" w:leftChars="800" w:hanging="360" w:hangingChars="200"/>
      </w:pPr>
    </w:lvl>
  </w:abstractNum>
  <w:abstractNum w:abstractNumId="1">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0">
    <w:nsid w:val="079102AD"/>
    <w:multiLevelType w:val="multilevel"/>
    <w:tmpl w:val="079102AD"/>
    <w:lvl w:ilvl="0" w:tentative="0">
      <w:start w:val="1"/>
      <w:numFmt w:val="decimal"/>
      <w:pStyle w:val="304"/>
      <w:suff w:val="nothing"/>
      <w:lvlText w:val="注%1："/>
      <w:lvlJc w:val="left"/>
      <w:rPr>
        <w:rFonts w:ascii="黑体" w:hAnsi="黑体" w:eastAsia="黑体" w:cs="Times New Roman"/>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1">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eastAsia="黑体" w:hAnsiTheme="minorHAnsi"/>
        <w:b w:val="0"/>
        <w:i w:val="0"/>
        <w:sz w:val="21"/>
      </w:rPr>
    </w:lvl>
    <w:lvl w:ilvl="2" w:tentative="0">
      <w:start w:val="1"/>
      <w:numFmt w:val="decimal"/>
      <w:pStyle w:val="511"/>
      <w:suff w:val="nothing"/>
      <w:lvlText w:val="%10.%2.%3 "/>
      <w:lvlJc w:val="left"/>
      <w:pPr>
        <w:ind w:left="0" w:firstLine="0"/>
      </w:pPr>
      <w:rPr>
        <w:rFonts w:hint="eastAsia" w:ascii="黑体" w:eastAsia="黑体" w:hAnsiTheme="minorHAnsi"/>
        <w:b w:val="0"/>
        <w:i w:val="0"/>
        <w:sz w:val="21"/>
      </w:rPr>
    </w:lvl>
    <w:lvl w:ilvl="3" w:tentative="0">
      <w:start w:val="1"/>
      <w:numFmt w:val="decimal"/>
      <w:pStyle w:val="513"/>
      <w:suff w:val="nothing"/>
      <w:lvlText w:val="%10.%2.%3.%4 "/>
      <w:lvlJc w:val="left"/>
      <w:pPr>
        <w:ind w:left="0" w:firstLine="0"/>
      </w:pPr>
      <w:rPr>
        <w:rFonts w:hint="eastAsia" w:ascii="黑体" w:eastAsia="黑体" w:hAnsiTheme="minorHAnsi"/>
        <w:b w:val="0"/>
        <w:i w:val="0"/>
        <w:sz w:val="21"/>
      </w:rPr>
    </w:lvl>
    <w:lvl w:ilvl="4" w:tentative="0">
      <w:start w:val="1"/>
      <w:numFmt w:val="decimal"/>
      <w:pStyle w:val="515"/>
      <w:suff w:val="nothing"/>
      <w:lvlText w:val="%10.%2.%3.%4.%5 "/>
      <w:lvlJc w:val="left"/>
      <w:pPr>
        <w:ind w:left="0" w:firstLine="0"/>
      </w:pPr>
      <w:rPr>
        <w:rFonts w:hint="eastAsia" w:ascii="黑体" w:eastAsia="黑体" w:hAnsiTheme="minorHAnsi"/>
        <w:b w:val="0"/>
        <w:i w:val="0"/>
        <w:sz w:val="21"/>
      </w:rPr>
    </w:lvl>
    <w:lvl w:ilvl="5" w:tentative="0">
      <w:start w:val="1"/>
      <w:numFmt w:val="decimal"/>
      <w:pStyle w:val="51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rPr>
    </w:lvl>
    <w:lvl w:ilvl="2" w:tentative="0">
      <w:start w:val="1"/>
      <w:numFmt w:val="none"/>
      <w:pStyle w:val="316"/>
      <w:suff w:val="nothing"/>
      <w:lvlText w:val="%1表%2　"/>
      <w:lvlJc w:val="left"/>
      <w:rPr>
        <w:rFonts w:hint="eastAsia" w:ascii="黑体" w:hAnsi="黑体" w:eastAsia="黑体" w:cs="Times New Roman"/>
        <w:b w:val="0"/>
        <w:bCs w:val="0"/>
        <w:i w:val="0"/>
        <w:iCs w:val="0"/>
        <w:caps w:val="0"/>
        <w:smallCaps w:val="0"/>
        <w:strike w:val="0"/>
        <w:dstrike w:val="0"/>
        <w:snapToGrid w:val="0"/>
        <w:vanish w:val="0"/>
        <w:color w:val="00000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3">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0D46713A"/>
    <w:multiLevelType w:val="multilevel"/>
    <w:tmpl w:val="0D46713A"/>
    <w:lvl w:ilvl="0" w:tentative="0">
      <w:start w:val="1"/>
      <w:numFmt w:val="bullet"/>
      <w:pStyle w:val="325"/>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5">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61"/>
      <w:suff w:val="nothing"/>
      <w:lvlText w:val="%1.%2.%3　"/>
      <w:lvlJc w:val="left"/>
      <w:pPr>
        <w:ind w:left="0"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850" w:firstLine="0"/>
      </w:pPr>
      <w:rPr>
        <w:rFonts w:hint="eastAsia" w:ascii="黑体" w:hAnsi="Times New Roman" w:eastAsia="黑体"/>
        <w:b w:val="0"/>
        <w:i w:val="0"/>
        <w:sz w:val="21"/>
      </w:rPr>
    </w:lvl>
    <w:lvl w:ilvl="5" w:tentative="0">
      <w:start w:val="1"/>
      <w:numFmt w:val="decimal"/>
      <w:pStyle w:val="300"/>
      <w:suff w:val="nothing"/>
      <w:lvlText w:val="%1.%2.%3.%4.%5.%6　"/>
      <w:lvlJc w:val="left"/>
      <w:pPr>
        <w:ind w:left="-850" w:firstLine="0"/>
      </w:pPr>
      <w:rPr>
        <w:rFonts w:hint="eastAsia" w:ascii="黑体" w:hAnsi="Times New Roman" w:eastAsia="黑体"/>
        <w:b w:val="0"/>
        <w:i w:val="0"/>
        <w:sz w:val="21"/>
      </w:rPr>
    </w:lvl>
    <w:lvl w:ilvl="6" w:tentative="0">
      <w:start w:val="1"/>
      <w:numFmt w:val="decimal"/>
      <w:suff w:val="nothing"/>
      <w:lvlText w:val="%1%2.%3.%4.%5.%6.%7　"/>
      <w:lvlJc w:val="left"/>
      <w:pPr>
        <w:ind w:left="-850" w:firstLine="0"/>
      </w:pPr>
      <w:rPr>
        <w:rFonts w:hint="eastAsia" w:ascii="黑体" w:hAnsi="Times New Roman" w:eastAsia="黑体"/>
        <w:b w:val="0"/>
        <w:i w:val="0"/>
        <w:sz w:val="21"/>
      </w:rPr>
    </w:lvl>
    <w:lvl w:ilvl="7" w:tentative="0">
      <w:start w:val="1"/>
      <w:numFmt w:val="decimal"/>
      <w:lvlText w:val="%1.%2.%3.%4.%5.%6.%7.%8"/>
      <w:lvlJc w:val="left"/>
      <w:pPr>
        <w:tabs>
          <w:tab w:val="left" w:pos="3501"/>
        </w:tabs>
        <w:ind w:left="3119" w:hanging="1418"/>
      </w:pPr>
      <w:rPr>
        <w:rFonts w:hint="eastAsia"/>
      </w:rPr>
    </w:lvl>
    <w:lvl w:ilvl="8" w:tentative="0">
      <w:start w:val="1"/>
      <w:numFmt w:val="decimal"/>
      <w:lvlText w:val="%1.%2.%3.%4.%5.%6.%7.%8.%9"/>
      <w:lvlJc w:val="left"/>
      <w:pPr>
        <w:tabs>
          <w:tab w:val="left" w:pos="3927"/>
        </w:tabs>
        <w:ind w:left="3827" w:hanging="1700"/>
      </w:pPr>
      <w:rPr>
        <w:rFonts w:hint="eastAsia"/>
      </w:rPr>
    </w:lvl>
  </w:abstractNum>
  <w:abstractNum w:abstractNumId="16">
    <w:nsid w:val="2A8F7113"/>
    <w:multiLevelType w:val="multilevel"/>
    <w:tmpl w:val="2A8F7113"/>
    <w:lvl w:ilvl="0" w:tentative="0">
      <w:start w:val="1"/>
      <w:numFmt w:val="upperLetter"/>
      <w:pStyle w:val="348"/>
      <w:lvlText w:val="%1"/>
      <w:lvlJc w:val="left"/>
      <w:pPr>
        <w:ind w:left="0" w:firstLine="0"/>
      </w:pPr>
      <w:rPr>
        <w:rFonts w:hint="eastAsia" w:ascii="宋体" w:hAnsi="宋体" w:eastAsia="宋体"/>
        <w:b w:val="0"/>
        <w:i w:val="0"/>
        <w:caps w:val="0"/>
        <w:strike w:val="0"/>
        <w:dstrike w:val="0"/>
        <w:vanish w:val="0"/>
        <w:color w:val="FFFFFF"/>
        <w:sz w:val="2"/>
        <w:u w:val="none"/>
        <w:vertAlign w:val="baseline"/>
      </w:rPr>
    </w:lvl>
    <w:lvl w:ilvl="1" w:tentative="0">
      <w:start w:val="1"/>
      <w:numFmt w:val="decimal"/>
      <w:pStyle w:val="281"/>
      <w:suff w:val="nothing"/>
      <w:lvlText w:val="图%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2" w:tentative="0">
      <w:start w:val="1"/>
      <w:numFmt w:val="decimal"/>
      <w:lvlText w:val="%1.%2.%3"/>
      <w:lvlJc w:val="left"/>
      <w:pPr>
        <w:ind w:left="1418" w:hanging="567"/>
      </w:pPr>
      <w:rPr>
        <w:rFonts w:hint="eastAsia"/>
        <w:b w:val="0"/>
        <w:i w:val="0"/>
        <w:caps w:val="0"/>
        <w:strike w:val="0"/>
        <w:dstrike w:val="0"/>
        <w:vanish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7">
    <w:nsid w:val="34431F99"/>
    <w:multiLevelType w:val="multilevel"/>
    <w:tmpl w:val="34431F99"/>
    <w:lvl w:ilvl="0" w:tentative="0">
      <w:start w:val="1"/>
      <w:numFmt w:val="upperLetter"/>
      <w:pStyle w:val="509"/>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0"/>
      <w:lvlText w:val="(%1.%2)"/>
      <w:lvlJc w:val="left"/>
      <w:rPr>
        <w:rFonts w:hAnsi="Times New Roman" w:cs="Times New Roman"/>
        <w:b w:val="0"/>
        <w:bCs w:val="0"/>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44C50F90"/>
    <w:multiLevelType w:val="multilevel"/>
    <w:tmpl w:val="44C50F90"/>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4B733A5F"/>
    <w:multiLevelType w:val="multilevel"/>
    <w:tmpl w:val="4B733A5F"/>
    <w:lvl w:ilvl="0" w:tentative="0">
      <w:start w:val="1"/>
      <w:numFmt w:val="decimal"/>
      <w:pStyle w:val="3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0">
    <w:nsid w:val="55E02EF4"/>
    <w:multiLevelType w:val="multilevel"/>
    <w:tmpl w:val="55E02EF4"/>
    <w:lvl w:ilvl="0" w:tentative="0">
      <w:start w:val="1"/>
      <w:numFmt w:val="decimal"/>
      <w:pStyle w:val="302"/>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2">
    <w:nsid w:val="60B55DC2"/>
    <w:multiLevelType w:val="multilevel"/>
    <w:tmpl w:val="60B55DC2"/>
    <w:lvl w:ilvl="0" w:tentative="0">
      <w:start w:val="1"/>
      <w:numFmt w:val="upperLetter"/>
      <w:pStyle w:val="347"/>
      <w:lvlText w:val="%1"/>
      <w:lvlJc w:val="left"/>
      <w:pPr>
        <w:tabs>
          <w:tab w:val="left" w:pos="0"/>
        </w:tabs>
        <w:ind w:left="0" w:firstLine="0"/>
      </w:pPr>
      <w:rPr>
        <w:rFonts w:hint="eastAsia" w:ascii="宋体" w:hAnsi="宋体" w:eastAsia="宋体"/>
        <w:b w:val="0"/>
        <w:i w:val="0"/>
        <w:caps w:val="0"/>
        <w:strike w:val="0"/>
        <w:dstrike w:val="0"/>
        <w:vanish w:val="0"/>
        <w:color w:val="FFFFFF"/>
        <w:sz w:val="2"/>
        <w:u w:val="none"/>
        <w:vertAlign w:val="baseline"/>
      </w:rPr>
    </w:lvl>
    <w:lvl w:ilvl="1" w:tentative="0">
      <w:start w:val="1"/>
      <w:numFmt w:val="decimal"/>
      <w:pStyle w:val="275"/>
      <w:suff w:val="nothing"/>
      <w:lvlText w:val="表%1.%2　"/>
      <w:lvlJc w:val="left"/>
      <w:pPr>
        <w:ind w:left="0" w:firstLine="0"/>
      </w:pPr>
      <w:rPr>
        <w:rFonts w:hint="eastAsia" w:ascii="黑体" w:hAnsi="黑体" w:eastAsia="黑体"/>
        <w:b w:val="0"/>
        <w:i w:val="0"/>
        <w:caps w:val="0"/>
        <w:strike w:val="0"/>
        <w:dstrike w:val="0"/>
        <w:snapToGrid w:val="0"/>
        <w:vanish w:val="0"/>
        <w:color w:val="000000"/>
        <w:kern w:val="0"/>
        <w:sz w:val="21"/>
        <w:u w:val="none"/>
        <w:vertAlign w:val="baseline"/>
        <w:lang w:val="en-US"/>
      </w:rPr>
    </w:lvl>
    <w:lvl w:ilvl="2" w:tentative="0">
      <w:start w:val="1"/>
      <w:numFmt w:val="decimal"/>
      <w:pStyle w:val="317"/>
      <w:suff w:val="nothing"/>
      <w:lvlText w:val="表%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rPr>
        <w:rFonts w:ascii="黑体" w:hAnsi="黑体" w:eastAsia="黑体" w:cs="Times New Roman"/>
        <w:b w:val="0"/>
        <w:bCs w:val="0"/>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DBF04F4"/>
    <w:multiLevelType w:val="multilevel"/>
    <w:tmpl w:val="6DBF04F4"/>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5">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7"/>
      <w:suff w:val="nothing"/>
      <w:lvlText w:val="%1%2 "/>
      <w:lvlJc w:val="left"/>
      <w:pPr>
        <w:ind w:left="0" w:firstLine="0"/>
      </w:pPr>
      <w:rPr>
        <w:rFonts w:hint="eastAsia" w:ascii="黑体" w:hAnsi="Times New Roman" w:eastAsia="黑体"/>
        <w:b/>
        <w:i w:val="0"/>
        <w:sz w:val="28"/>
      </w:rPr>
    </w:lvl>
    <w:lvl w:ilvl="2" w:tentative="0">
      <w:start w:val="1"/>
      <w:numFmt w:val="decimal"/>
      <w:pStyle w:val="308"/>
      <w:suff w:val="nothing"/>
      <w:lvlText w:val="%1%2.%3　"/>
      <w:lvlJc w:val="left"/>
      <w:pPr>
        <w:ind w:left="0" w:firstLine="0"/>
      </w:pPr>
      <w:rPr>
        <w:rFonts w:hint="eastAsia" w:ascii="黑体" w:hAnsi="Times New Roman" w:eastAsia="黑体"/>
        <w:b/>
        <w:i w:val="0"/>
        <w:sz w:val="21"/>
      </w:rPr>
    </w:lvl>
    <w:lvl w:ilvl="3" w:tentative="0">
      <w:start w:val="1"/>
      <w:numFmt w:val="decimal"/>
      <w:pStyle w:val="309"/>
      <w:suff w:val="nothing"/>
      <w:lvlText w:val="%1%2.%3.%4　"/>
      <w:lvlJc w:val="left"/>
      <w:pPr>
        <w:ind w:left="0" w:firstLine="0"/>
      </w:pPr>
      <w:rPr>
        <w:rFonts w:hint="eastAsia" w:ascii="黑体" w:hAnsi="Times New Roman" w:eastAsia="黑体"/>
        <w:b/>
        <w:i w:val="0"/>
        <w:sz w:val="21"/>
      </w:rPr>
    </w:lvl>
    <w:lvl w:ilvl="4" w:tentative="0">
      <w:start w:val="1"/>
      <w:numFmt w:val="decimal"/>
      <w:pStyle w:val="31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4"/>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3"/>
      <w:lvlText w:val="%2.0.%9"/>
      <w:lvlJc w:val="left"/>
      <w:pPr>
        <w:tabs>
          <w:tab w:val="left" w:pos="720"/>
        </w:tabs>
        <w:ind w:left="0" w:firstLine="0"/>
      </w:pPr>
      <w:rPr>
        <w:rFonts w:hint="eastAsia" w:ascii="黑体" w:hAnsi="华文细黑" w:eastAsia="黑体"/>
        <w:b/>
        <w:i w:val="0"/>
        <w:sz w:val="21"/>
      </w:rPr>
    </w:lvl>
  </w:abstractNum>
  <w:abstractNum w:abstractNumId="26">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5"/>
  </w:num>
  <w:num w:numId="12">
    <w:abstractNumId w:val="23"/>
  </w:num>
  <w:num w:numId="13">
    <w:abstractNumId w:val="22"/>
  </w:num>
  <w:num w:numId="14">
    <w:abstractNumId w:val="16"/>
  </w:num>
  <w:num w:numId="15">
    <w:abstractNumId w:val="26"/>
  </w:num>
  <w:num w:numId="16">
    <w:abstractNumId w:val="13"/>
  </w:num>
  <w:num w:numId="17">
    <w:abstractNumId w:val="18"/>
  </w:num>
  <w:num w:numId="18">
    <w:abstractNumId w:val="21"/>
  </w:num>
  <w:num w:numId="19">
    <w:abstractNumId w:val="12"/>
  </w:num>
  <w:num w:numId="20">
    <w:abstractNumId w:val="20"/>
  </w:num>
  <w:num w:numId="21">
    <w:abstractNumId w:val="24"/>
  </w:num>
  <w:num w:numId="22">
    <w:abstractNumId w:val="10"/>
  </w:num>
  <w:num w:numId="23">
    <w:abstractNumId w:val="19"/>
  </w:num>
  <w:num w:numId="24">
    <w:abstractNumId w:val="25"/>
  </w:num>
  <w:num w:numId="25">
    <w:abstractNumId w:val="14"/>
  </w:num>
  <w:num w:numId="26">
    <w:abstractNumId w:val="17"/>
  </w:num>
  <w:num w:numId="27">
    <w:abstractNumId w:val="11"/>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attachedTemplate r:id="rId1"/>
  <w:documentProtection w:enforcement="0"/>
  <w:defaultTabStop w:val="210"/>
  <w:drawingGridHorizontalSpacing w:val="105"/>
  <w:drawingGridVerticalSpacing w:val="156"/>
  <w:displayHorizontalDrawingGridEvery w:val="2"/>
  <w:displayVerticalDrawingGridEvery w:val="2"/>
  <w:noPunctuationKerning w:val="true"/>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mYzNjNjY0ZTU2ZDJlMGJkZjFhMDg4OTVmOTFlZTkifQ=="/>
  </w:docVars>
  <w:rsids>
    <w:rsidRoot w:val="00382FF0"/>
    <w:rsid w:val="000005BF"/>
    <w:rsid w:val="000021C5"/>
    <w:rsid w:val="00002527"/>
    <w:rsid w:val="00002C37"/>
    <w:rsid w:val="000040D7"/>
    <w:rsid w:val="00004C4C"/>
    <w:rsid w:val="00006548"/>
    <w:rsid w:val="00010579"/>
    <w:rsid w:val="000107B4"/>
    <w:rsid w:val="00010855"/>
    <w:rsid w:val="00010CAE"/>
    <w:rsid w:val="00015311"/>
    <w:rsid w:val="0001759B"/>
    <w:rsid w:val="00017D20"/>
    <w:rsid w:val="000214BD"/>
    <w:rsid w:val="000214C2"/>
    <w:rsid w:val="00023F53"/>
    <w:rsid w:val="000265F5"/>
    <w:rsid w:val="00027BD3"/>
    <w:rsid w:val="00031BA1"/>
    <w:rsid w:val="00031EEE"/>
    <w:rsid w:val="0003373A"/>
    <w:rsid w:val="000339A5"/>
    <w:rsid w:val="000349BD"/>
    <w:rsid w:val="00035EF8"/>
    <w:rsid w:val="00036B39"/>
    <w:rsid w:val="00036EFB"/>
    <w:rsid w:val="00037208"/>
    <w:rsid w:val="000372EA"/>
    <w:rsid w:val="00037588"/>
    <w:rsid w:val="00037DA9"/>
    <w:rsid w:val="00040BBF"/>
    <w:rsid w:val="000423E9"/>
    <w:rsid w:val="00042F63"/>
    <w:rsid w:val="00043421"/>
    <w:rsid w:val="00045EB8"/>
    <w:rsid w:val="00050E91"/>
    <w:rsid w:val="0005179F"/>
    <w:rsid w:val="0005265F"/>
    <w:rsid w:val="0005353D"/>
    <w:rsid w:val="00053CA3"/>
    <w:rsid w:val="00053FB5"/>
    <w:rsid w:val="000560E7"/>
    <w:rsid w:val="000573CE"/>
    <w:rsid w:val="0005766F"/>
    <w:rsid w:val="000606BF"/>
    <w:rsid w:val="000617AE"/>
    <w:rsid w:val="00065B48"/>
    <w:rsid w:val="00065B55"/>
    <w:rsid w:val="00065E47"/>
    <w:rsid w:val="00066806"/>
    <w:rsid w:val="00070133"/>
    <w:rsid w:val="00072C78"/>
    <w:rsid w:val="000733A5"/>
    <w:rsid w:val="000735F2"/>
    <w:rsid w:val="00074720"/>
    <w:rsid w:val="00075CDA"/>
    <w:rsid w:val="00075DD9"/>
    <w:rsid w:val="00076E6A"/>
    <w:rsid w:val="00076F59"/>
    <w:rsid w:val="0007739B"/>
    <w:rsid w:val="00082552"/>
    <w:rsid w:val="00087374"/>
    <w:rsid w:val="00087E3E"/>
    <w:rsid w:val="0009263D"/>
    <w:rsid w:val="0009271F"/>
    <w:rsid w:val="0009648F"/>
    <w:rsid w:val="000971C2"/>
    <w:rsid w:val="00097FA8"/>
    <w:rsid w:val="000A1A7A"/>
    <w:rsid w:val="000A2AD4"/>
    <w:rsid w:val="000A33EA"/>
    <w:rsid w:val="000A568D"/>
    <w:rsid w:val="000A6E5F"/>
    <w:rsid w:val="000B28BB"/>
    <w:rsid w:val="000B4541"/>
    <w:rsid w:val="000B6B56"/>
    <w:rsid w:val="000B6C14"/>
    <w:rsid w:val="000B6E4A"/>
    <w:rsid w:val="000B6EC7"/>
    <w:rsid w:val="000B6ECB"/>
    <w:rsid w:val="000C108B"/>
    <w:rsid w:val="000C1D3B"/>
    <w:rsid w:val="000C204C"/>
    <w:rsid w:val="000C21DC"/>
    <w:rsid w:val="000C2EFF"/>
    <w:rsid w:val="000C69DD"/>
    <w:rsid w:val="000D0636"/>
    <w:rsid w:val="000D1D40"/>
    <w:rsid w:val="000D2574"/>
    <w:rsid w:val="000D2C22"/>
    <w:rsid w:val="000D2D03"/>
    <w:rsid w:val="000D4741"/>
    <w:rsid w:val="000D5901"/>
    <w:rsid w:val="000E1411"/>
    <w:rsid w:val="000E2B29"/>
    <w:rsid w:val="000E323C"/>
    <w:rsid w:val="000E66C7"/>
    <w:rsid w:val="000E6FBE"/>
    <w:rsid w:val="000E7B00"/>
    <w:rsid w:val="000E7B1D"/>
    <w:rsid w:val="000F06E3"/>
    <w:rsid w:val="000F1341"/>
    <w:rsid w:val="000F157E"/>
    <w:rsid w:val="000F44E2"/>
    <w:rsid w:val="000F5AFB"/>
    <w:rsid w:val="000F6F09"/>
    <w:rsid w:val="00100C9C"/>
    <w:rsid w:val="00104E97"/>
    <w:rsid w:val="00110098"/>
    <w:rsid w:val="00114787"/>
    <w:rsid w:val="00114BE1"/>
    <w:rsid w:val="00115025"/>
    <w:rsid w:val="001151CA"/>
    <w:rsid w:val="00115915"/>
    <w:rsid w:val="00116AFE"/>
    <w:rsid w:val="00117E82"/>
    <w:rsid w:val="00120B31"/>
    <w:rsid w:val="00122324"/>
    <w:rsid w:val="00123BF9"/>
    <w:rsid w:val="00123E5E"/>
    <w:rsid w:val="00125CB3"/>
    <w:rsid w:val="0012625E"/>
    <w:rsid w:val="00127602"/>
    <w:rsid w:val="00133500"/>
    <w:rsid w:val="00135137"/>
    <w:rsid w:val="0014048C"/>
    <w:rsid w:val="00141407"/>
    <w:rsid w:val="0014208F"/>
    <w:rsid w:val="00142755"/>
    <w:rsid w:val="001444B3"/>
    <w:rsid w:val="00144633"/>
    <w:rsid w:val="001448D0"/>
    <w:rsid w:val="00146209"/>
    <w:rsid w:val="0014733B"/>
    <w:rsid w:val="00150171"/>
    <w:rsid w:val="001517CF"/>
    <w:rsid w:val="00151B99"/>
    <w:rsid w:val="00151D32"/>
    <w:rsid w:val="001522C0"/>
    <w:rsid w:val="0015305A"/>
    <w:rsid w:val="001530B3"/>
    <w:rsid w:val="00153116"/>
    <w:rsid w:val="0015335D"/>
    <w:rsid w:val="00157A52"/>
    <w:rsid w:val="00160A51"/>
    <w:rsid w:val="00161FC3"/>
    <w:rsid w:val="00163369"/>
    <w:rsid w:val="00163665"/>
    <w:rsid w:val="00164C6D"/>
    <w:rsid w:val="00166966"/>
    <w:rsid w:val="00170B1F"/>
    <w:rsid w:val="00172236"/>
    <w:rsid w:val="00172F3F"/>
    <w:rsid w:val="001748CC"/>
    <w:rsid w:val="0017737E"/>
    <w:rsid w:val="00177648"/>
    <w:rsid w:val="00180447"/>
    <w:rsid w:val="00180474"/>
    <w:rsid w:val="001806A4"/>
    <w:rsid w:val="001830DE"/>
    <w:rsid w:val="00184351"/>
    <w:rsid w:val="00190BD6"/>
    <w:rsid w:val="00194892"/>
    <w:rsid w:val="00194B33"/>
    <w:rsid w:val="00197626"/>
    <w:rsid w:val="00197D61"/>
    <w:rsid w:val="001A1265"/>
    <w:rsid w:val="001A1D41"/>
    <w:rsid w:val="001A5BF9"/>
    <w:rsid w:val="001A642D"/>
    <w:rsid w:val="001A7E84"/>
    <w:rsid w:val="001B017F"/>
    <w:rsid w:val="001B43FB"/>
    <w:rsid w:val="001B6558"/>
    <w:rsid w:val="001B68C4"/>
    <w:rsid w:val="001C040B"/>
    <w:rsid w:val="001C2054"/>
    <w:rsid w:val="001C34C2"/>
    <w:rsid w:val="001C47E7"/>
    <w:rsid w:val="001C4F5F"/>
    <w:rsid w:val="001C4F78"/>
    <w:rsid w:val="001C5020"/>
    <w:rsid w:val="001C5F21"/>
    <w:rsid w:val="001C6BEF"/>
    <w:rsid w:val="001C7E81"/>
    <w:rsid w:val="001D0B98"/>
    <w:rsid w:val="001D1989"/>
    <w:rsid w:val="001D300C"/>
    <w:rsid w:val="001D43BC"/>
    <w:rsid w:val="001D53A9"/>
    <w:rsid w:val="001D5AA4"/>
    <w:rsid w:val="001D5ABD"/>
    <w:rsid w:val="001D71BA"/>
    <w:rsid w:val="001E0735"/>
    <w:rsid w:val="001E0B6B"/>
    <w:rsid w:val="001E2943"/>
    <w:rsid w:val="001E3ECD"/>
    <w:rsid w:val="001E5898"/>
    <w:rsid w:val="001E6B16"/>
    <w:rsid w:val="001E6F22"/>
    <w:rsid w:val="001F0E09"/>
    <w:rsid w:val="001F1D41"/>
    <w:rsid w:val="001F2E22"/>
    <w:rsid w:val="001F4FEB"/>
    <w:rsid w:val="001F724D"/>
    <w:rsid w:val="002004A1"/>
    <w:rsid w:val="00201E62"/>
    <w:rsid w:val="00205B62"/>
    <w:rsid w:val="00205F4D"/>
    <w:rsid w:val="00207275"/>
    <w:rsid w:val="00211599"/>
    <w:rsid w:val="002136E7"/>
    <w:rsid w:val="0021471F"/>
    <w:rsid w:val="00214FB4"/>
    <w:rsid w:val="00215055"/>
    <w:rsid w:val="00215B3D"/>
    <w:rsid w:val="00216264"/>
    <w:rsid w:val="00221609"/>
    <w:rsid w:val="00221AED"/>
    <w:rsid w:val="0022350E"/>
    <w:rsid w:val="002247C3"/>
    <w:rsid w:val="0022548A"/>
    <w:rsid w:val="00226DCB"/>
    <w:rsid w:val="00226E30"/>
    <w:rsid w:val="00227E52"/>
    <w:rsid w:val="00230A43"/>
    <w:rsid w:val="00230C59"/>
    <w:rsid w:val="002310FD"/>
    <w:rsid w:val="0023126A"/>
    <w:rsid w:val="00232A23"/>
    <w:rsid w:val="002348D4"/>
    <w:rsid w:val="00234EAB"/>
    <w:rsid w:val="00235CB0"/>
    <w:rsid w:val="00241676"/>
    <w:rsid w:val="00244236"/>
    <w:rsid w:val="0024493F"/>
    <w:rsid w:val="00246BD5"/>
    <w:rsid w:val="002476D2"/>
    <w:rsid w:val="00247E6D"/>
    <w:rsid w:val="00251F78"/>
    <w:rsid w:val="002522F4"/>
    <w:rsid w:val="0025283D"/>
    <w:rsid w:val="00255CAF"/>
    <w:rsid w:val="00256C2B"/>
    <w:rsid w:val="00257890"/>
    <w:rsid w:val="00264631"/>
    <w:rsid w:val="00267674"/>
    <w:rsid w:val="002705C4"/>
    <w:rsid w:val="002712BB"/>
    <w:rsid w:val="00272E0E"/>
    <w:rsid w:val="00276057"/>
    <w:rsid w:val="00277D91"/>
    <w:rsid w:val="00281150"/>
    <w:rsid w:val="00281394"/>
    <w:rsid w:val="00282FBE"/>
    <w:rsid w:val="0028557F"/>
    <w:rsid w:val="00287AC2"/>
    <w:rsid w:val="00287FD8"/>
    <w:rsid w:val="00290F2A"/>
    <w:rsid w:val="002917C0"/>
    <w:rsid w:val="00291E0E"/>
    <w:rsid w:val="00292BFE"/>
    <w:rsid w:val="002938F3"/>
    <w:rsid w:val="002940ED"/>
    <w:rsid w:val="0029536B"/>
    <w:rsid w:val="0029612F"/>
    <w:rsid w:val="00296E5B"/>
    <w:rsid w:val="00297001"/>
    <w:rsid w:val="00297787"/>
    <w:rsid w:val="002A03E3"/>
    <w:rsid w:val="002A07CC"/>
    <w:rsid w:val="002A1017"/>
    <w:rsid w:val="002A192C"/>
    <w:rsid w:val="002A3218"/>
    <w:rsid w:val="002A3BE2"/>
    <w:rsid w:val="002A462C"/>
    <w:rsid w:val="002A4C90"/>
    <w:rsid w:val="002A4DD0"/>
    <w:rsid w:val="002A5431"/>
    <w:rsid w:val="002A6548"/>
    <w:rsid w:val="002A69C9"/>
    <w:rsid w:val="002A6B18"/>
    <w:rsid w:val="002A768D"/>
    <w:rsid w:val="002B00D4"/>
    <w:rsid w:val="002B0E1B"/>
    <w:rsid w:val="002B236F"/>
    <w:rsid w:val="002B316B"/>
    <w:rsid w:val="002B3AF7"/>
    <w:rsid w:val="002B5DF9"/>
    <w:rsid w:val="002B76BB"/>
    <w:rsid w:val="002B76F2"/>
    <w:rsid w:val="002B778D"/>
    <w:rsid w:val="002C0EF8"/>
    <w:rsid w:val="002C3BC2"/>
    <w:rsid w:val="002C590E"/>
    <w:rsid w:val="002C6C4A"/>
    <w:rsid w:val="002D0F48"/>
    <w:rsid w:val="002D118C"/>
    <w:rsid w:val="002D1A85"/>
    <w:rsid w:val="002D24B9"/>
    <w:rsid w:val="002D2A63"/>
    <w:rsid w:val="002D43C0"/>
    <w:rsid w:val="002D4B71"/>
    <w:rsid w:val="002E08C1"/>
    <w:rsid w:val="002E08FC"/>
    <w:rsid w:val="002E20CA"/>
    <w:rsid w:val="002E21B1"/>
    <w:rsid w:val="002E256F"/>
    <w:rsid w:val="002E32A4"/>
    <w:rsid w:val="002E3CC3"/>
    <w:rsid w:val="002E59EC"/>
    <w:rsid w:val="002E5F3F"/>
    <w:rsid w:val="002E6659"/>
    <w:rsid w:val="002E7900"/>
    <w:rsid w:val="002F1862"/>
    <w:rsid w:val="002F1CC9"/>
    <w:rsid w:val="002F25ED"/>
    <w:rsid w:val="002F301E"/>
    <w:rsid w:val="002F4CF4"/>
    <w:rsid w:val="002F5C07"/>
    <w:rsid w:val="002F64EF"/>
    <w:rsid w:val="002F660F"/>
    <w:rsid w:val="002F6765"/>
    <w:rsid w:val="002F6EEB"/>
    <w:rsid w:val="002F7C40"/>
    <w:rsid w:val="00301496"/>
    <w:rsid w:val="00301953"/>
    <w:rsid w:val="0030258C"/>
    <w:rsid w:val="0030326A"/>
    <w:rsid w:val="00303CA5"/>
    <w:rsid w:val="003066AA"/>
    <w:rsid w:val="00306FCE"/>
    <w:rsid w:val="00307A58"/>
    <w:rsid w:val="00311705"/>
    <w:rsid w:val="00311DBD"/>
    <w:rsid w:val="003129FC"/>
    <w:rsid w:val="0031590C"/>
    <w:rsid w:val="00316CBA"/>
    <w:rsid w:val="00317912"/>
    <w:rsid w:val="003219E2"/>
    <w:rsid w:val="00322312"/>
    <w:rsid w:val="003237A9"/>
    <w:rsid w:val="00324802"/>
    <w:rsid w:val="00325252"/>
    <w:rsid w:val="00325260"/>
    <w:rsid w:val="0033126B"/>
    <w:rsid w:val="00331644"/>
    <w:rsid w:val="00331FE8"/>
    <w:rsid w:val="003347A4"/>
    <w:rsid w:val="00335CCF"/>
    <w:rsid w:val="0033623F"/>
    <w:rsid w:val="00336930"/>
    <w:rsid w:val="00337189"/>
    <w:rsid w:val="00337CA1"/>
    <w:rsid w:val="00340826"/>
    <w:rsid w:val="003409C6"/>
    <w:rsid w:val="00343167"/>
    <w:rsid w:val="00345043"/>
    <w:rsid w:val="00345449"/>
    <w:rsid w:val="0035246F"/>
    <w:rsid w:val="00353C89"/>
    <w:rsid w:val="00356BEA"/>
    <w:rsid w:val="00356D1E"/>
    <w:rsid w:val="00357060"/>
    <w:rsid w:val="00357C2A"/>
    <w:rsid w:val="00361F31"/>
    <w:rsid w:val="00362FCB"/>
    <w:rsid w:val="003637F5"/>
    <w:rsid w:val="00366B99"/>
    <w:rsid w:val="00375D08"/>
    <w:rsid w:val="00376520"/>
    <w:rsid w:val="00376D9B"/>
    <w:rsid w:val="003805FF"/>
    <w:rsid w:val="0038220B"/>
    <w:rsid w:val="0038270B"/>
    <w:rsid w:val="00382CE5"/>
    <w:rsid w:val="00382FF0"/>
    <w:rsid w:val="003844B6"/>
    <w:rsid w:val="003846F3"/>
    <w:rsid w:val="00385845"/>
    <w:rsid w:val="0039078D"/>
    <w:rsid w:val="00391C93"/>
    <w:rsid w:val="00392238"/>
    <w:rsid w:val="00392342"/>
    <w:rsid w:val="00392B4E"/>
    <w:rsid w:val="00392CBB"/>
    <w:rsid w:val="00392ECC"/>
    <w:rsid w:val="00393A70"/>
    <w:rsid w:val="00395171"/>
    <w:rsid w:val="003970DD"/>
    <w:rsid w:val="00397925"/>
    <w:rsid w:val="003A0AF7"/>
    <w:rsid w:val="003A407F"/>
    <w:rsid w:val="003A4F7B"/>
    <w:rsid w:val="003A6FD5"/>
    <w:rsid w:val="003A7F8B"/>
    <w:rsid w:val="003B1C88"/>
    <w:rsid w:val="003B2E71"/>
    <w:rsid w:val="003B3964"/>
    <w:rsid w:val="003B4CF3"/>
    <w:rsid w:val="003B5AB4"/>
    <w:rsid w:val="003B65E2"/>
    <w:rsid w:val="003B6F5C"/>
    <w:rsid w:val="003B7E82"/>
    <w:rsid w:val="003B7F54"/>
    <w:rsid w:val="003C0582"/>
    <w:rsid w:val="003C0FEB"/>
    <w:rsid w:val="003C44EB"/>
    <w:rsid w:val="003C4805"/>
    <w:rsid w:val="003C5C82"/>
    <w:rsid w:val="003C5EEF"/>
    <w:rsid w:val="003C7D05"/>
    <w:rsid w:val="003C7DE2"/>
    <w:rsid w:val="003C7E4E"/>
    <w:rsid w:val="003C7F27"/>
    <w:rsid w:val="003D0E8A"/>
    <w:rsid w:val="003D17FE"/>
    <w:rsid w:val="003D2D25"/>
    <w:rsid w:val="003D46E9"/>
    <w:rsid w:val="003D505C"/>
    <w:rsid w:val="003D554D"/>
    <w:rsid w:val="003D5FBE"/>
    <w:rsid w:val="003D61FE"/>
    <w:rsid w:val="003D636C"/>
    <w:rsid w:val="003E0573"/>
    <w:rsid w:val="003E2E66"/>
    <w:rsid w:val="003E300F"/>
    <w:rsid w:val="003E4C2E"/>
    <w:rsid w:val="003E59BE"/>
    <w:rsid w:val="003E5CE5"/>
    <w:rsid w:val="003E65B2"/>
    <w:rsid w:val="003E6E25"/>
    <w:rsid w:val="003E7CE2"/>
    <w:rsid w:val="003F1650"/>
    <w:rsid w:val="003F2DA8"/>
    <w:rsid w:val="003F365D"/>
    <w:rsid w:val="003F3F2E"/>
    <w:rsid w:val="003F40A2"/>
    <w:rsid w:val="003F41AB"/>
    <w:rsid w:val="003F41DB"/>
    <w:rsid w:val="003F46C0"/>
    <w:rsid w:val="003F582E"/>
    <w:rsid w:val="003F5970"/>
    <w:rsid w:val="003F603C"/>
    <w:rsid w:val="003F61E9"/>
    <w:rsid w:val="003F75B0"/>
    <w:rsid w:val="003F764E"/>
    <w:rsid w:val="00405B77"/>
    <w:rsid w:val="00406B4F"/>
    <w:rsid w:val="00406CC1"/>
    <w:rsid w:val="00407906"/>
    <w:rsid w:val="004112B7"/>
    <w:rsid w:val="0041207A"/>
    <w:rsid w:val="00412164"/>
    <w:rsid w:val="00412AC8"/>
    <w:rsid w:val="00413115"/>
    <w:rsid w:val="004202C5"/>
    <w:rsid w:val="00421C77"/>
    <w:rsid w:val="00422942"/>
    <w:rsid w:val="00427B91"/>
    <w:rsid w:val="00430291"/>
    <w:rsid w:val="0043304E"/>
    <w:rsid w:val="00434D38"/>
    <w:rsid w:val="00436ECC"/>
    <w:rsid w:val="004414E6"/>
    <w:rsid w:val="00443CD6"/>
    <w:rsid w:val="00445711"/>
    <w:rsid w:val="0044793A"/>
    <w:rsid w:val="00447DDB"/>
    <w:rsid w:val="00450236"/>
    <w:rsid w:val="00451AE6"/>
    <w:rsid w:val="004548A9"/>
    <w:rsid w:val="00454E9B"/>
    <w:rsid w:val="00455454"/>
    <w:rsid w:val="0046160C"/>
    <w:rsid w:val="004618A8"/>
    <w:rsid w:val="00461998"/>
    <w:rsid w:val="004619AC"/>
    <w:rsid w:val="00463A10"/>
    <w:rsid w:val="0046437F"/>
    <w:rsid w:val="00465073"/>
    <w:rsid w:val="00465388"/>
    <w:rsid w:val="00465B7B"/>
    <w:rsid w:val="004668AD"/>
    <w:rsid w:val="00466E4E"/>
    <w:rsid w:val="00466FF2"/>
    <w:rsid w:val="00467339"/>
    <w:rsid w:val="004714B9"/>
    <w:rsid w:val="0047356A"/>
    <w:rsid w:val="00474145"/>
    <w:rsid w:val="004745E2"/>
    <w:rsid w:val="00477D9A"/>
    <w:rsid w:val="004826C9"/>
    <w:rsid w:val="00482B96"/>
    <w:rsid w:val="00483358"/>
    <w:rsid w:val="0048522D"/>
    <w:rsid w:val="0048668C"/>
    <w:rsid w:val="00486D3D"/>
    <w:rsid w:val="004878D0"/>
    <w:rsid w:val="00490088"/>
    <w:rsid w:val="0049063E"/>
    <w:rsid w:val="004912C6"/>
    <w:rsid w:val="00493538"/>
    <w:rsid w:val="00493834"/>
    <w:rsid w:val="00494410"/>
    <w:rsid w:val="0049622C"/>
    <w:rsid w:val="00497D7D"/>
    <w:rsid w:val="00497F00"/>
    <w:rsid w:val="004A216B"/>
    <w:rsid w:val="004A3243"/>
    <w:rsid w:val="004B152A"/>
    <w:rsid w:val="004B2F1C"/>
    <w:rsid w:val="004C06B4"/>
    <w:rsid w:val="004C1C92"/>
    <w:rsid w:val="004C5B0C"/>
    <w:rsid w:val="004C6B1F"/>
    <w:rsid w:val="004C7AE5"/>
    <w:rsid w:val="004D0182"/>
    <w:rsid w:val="004D2D13"/>
    <w:rsid w:val="004D338E"/>
    <w:rsid w:val="004D3767"/>
    <w:rsid w:val="004D3840"/>
    <w:rsid w:val="004D55C7"/>
    <w:rsid w:val="004D6C03"/>
    <w:rsid w:val="004E1F3E"/>
    <w:rsid w:val="004E6E84"/>
    <w:rsid w:val="004F129B"/>
    <w:rsid w:val="004F23E3"/>
    <w:rsid w:val="004F3719"/>
    <w:rsid w:val="004F3B75"/>
    <w:rsid w:val="004F4E6D"/>
    <w:rsid w:val="004F5065"/>
    <w:rsid w:val="004F5EB5"/>
    <w:rsid w:val="004F7379"/>
    <w:rsid w:val="004F74CD"/>
    <w:rsid w:val="004F7665"/>
    <w:rsid w:val="004F7BC6"/>
    <w:rsid w:val="005018A2"/>
    <w:rsid w:val="005033D0"/>
    <w:rsid w:val="005043F4"/>
    <w:rsid w:val="00504604"/>
    <w:rsid w:val="0050545B"/>
    <w:rsid w:val="00505515"/>
    <w:rsid w:val="005055A3"/>
    <w:rsid w:val="00505EA5"/>
    <w:rsid w:val="00506EB4"/>
    <w:rsid w:val="00507197"/>
    <w:rsid w:val="005072EF"/>
    <w:rsid w:val="00507B33"/>
    <w:rsid w:val="00507F6F"/>
    <w:rsid w:val="00511B09"/>
    <w:rsid w:val="005134E3"/>
    <w:rsid w:val="00515353"/>
    <w:rsid w:val="00515AC9"/>
    <w:rsid w:val="005175BF"/>
    <w:rsid w:val="00517D40"/>
    <w:rsid w:val="00517FBF"/>
    <w:rsid w:val="00520DEA"/>
    <w:rsid w:val="00521E61"/>
    <w:rsid w:val="00523BDD"/>
    <w:rsid w:val="00524504"/>
    <w:rsid w:val="005253F0"/>
    <w:rsid w:val="005272AE"/>
    <w:rsid w:val="00530E85"/>
    <w:rsid w:val="00531E21"/>
    <w:rsid w:val="005322CC"/>
    <w:rsid w:val="00532706"/>
    <w:rsid w:val="00532D32"/>
    <w:rsid w:val="0053303D"/>
    <w:rsid w:val="00533AC5"/>
    <w:rsid w:val="00534928"/>
    <w:rsid w:val="005366B1"/>
    <w:rsid w:val="00550DC1"/>
    <w:rsid w:val="00551CB3"/>
    <w:rsid w:val="005544B4"/>
    <w:rsid w:val="00554956"/>
    <w:rsid w:val="0055586D"/>
    <w:rsid w:val="00555C0C"/>
    <w:rsid w:val="00556322"/>
    <w:rsid w:val="005565B0"/>
    <w:rsid w:val="005573EE"/>
    <w:rsid w:val="00561DE9"/>
    <w:rsid w:val="00562526"/>
    <w:rsid w:val="00567BFC"/>
    <w:rsid w:val="00567F46"/>
    <w:rsid w:val="00570967"/>
    <w:rsid w:val="005727AF"/>
    <w:rsid w:val="00572FA5"/>
    <w:rsid w:val="00573966"/>
    <w:rsid w:val="00573CAA"/>
    <w:rsid w:val="00575C35"/>
    <w:rsid w:val="00580907"/>
    <w:rsid w:val="0058402A"/>
    <w:rsid w:val="0058782B"/>
    <w:rsid w:val="005926F5"/>
    <w:rsid w:val="005929DF"/>
    <w:rsid w:val="00596BBE"/>
    <w:rsid w:val="00597163"/>
    <w:rsid w:val="00597FA1"/>
    <w:rsid w:val="005A0A1B"/>
    <w:rsid w:val="005A1EAE"/>
    <w:rsid w:val="005A35D5"/>
    <w:rsid w:val="005A3DAB"/>
    <w:rsid w:val="005A406C"/>
    <w:rsid w:val="005A4E5D"/>
    <w:rsid w:val="005A5530"/>
    <w:rsid w:val="005A66B6"/>
    <w:rsid w:val="005B0A14"/>
    <w:rsid w:val="005B4730"/>
    <w:rsid w:val="005B6BE7"/>
    <w:rsid w:val="005C0272"/>
    <w:rsid w:val="005C46A1"/>
    <w:rsid w:val="005C77CE"/>
    <w:rsid w:val="005D0124"/>
    <w:rsid w:val="005D1E23"/>
    <w:rsid w:val="005D203A"/>
    <w:rsid w:val="005D38C2"/>
    <w:rsid w:val="005D3DBD"/>
    <w:rsid w:val="005D475A"/>
    <w:rsid w:val="005D4A1F"/>
    <w:rsid w:val="005D5966"/>
    <w:rsid w:val="005D6C9C"/>
    <w:rsid w:val="005D77A5"/>
    <w:rsid w:val="005E2D7E"/>
    <w:rsid w:val="005E2EA6"/>
    <w:rsid w:val="005E3800"/>
    <w:rsid w:val="005E4DD5"/>
    <w:rsid w:val="005E5F6B"/>
    <w:rsid w:val="005E6D6B"/>
    <w:rsid w:val="005F0D69"/>
    <w:rsid w:val="005F11B8"/>
    <w:rsid w:val="005F3202"/>
    <w:rsid w:val="005F4B6C"/>
    <w:rsid w:val="005F5F3D"/>
    <w:rsid w:val="00601445"/>
    <w:rsid w:val="00601663"/>
    <w:rsid w:val="006020E9"/>
    <w:rsid w:val="0060492B"/>
    <w:rsid w:val="0060656F"/>
    <w:rsid w:val="00611BD0"/>
    <w:rsid w:val="006124D1"/>
    <w:rsid w:val="00613400"/>
    <w:rsid w:val="0061695B"/>
    <w:rsid w:val="006202DC"/>
    <w:rsid w:val="00620892"/>
    <w:rsid w:val="00623F26"/>
    <w:rsid w:val="00625F37"/>
    <w:rsid w:val="00630366"/>
    <w:rsid w:val="00630EC5"/>
    <w:rsid w:val="00632C70"/>
    <w:rsid w:val="00634BBD"/>
    <w:rsid w:val="00642493"/>
    <w:rsid w:val="00645B9C"/>
    <w:rsid w:val="00646F18"/>
    <w:rsid w:val="0065094C"/>
    <w:rsid w:val="00650ACF"/>
    <w:rsid w:val="00651753"/>
    <w:rsid w:val="006518A3"/>
    <w:rsid w:val="00651992"/>
    <w:rsid w:val="00651C5F"/>
    <w:rsid w:val="006565F7"/>
    <w:rsid w:val="00657590"/>
    <w:rsid w:val="00660FE9"/>
    <w:rsid w:val="00661598"/>
    <w:rsid w:val="00663812"/>
    <w:rsid w:val="00664BCC"/>
    <w:rsid w:val="00666471"/>
    <w:rsid w:val="00666C1A"/>
    <w:rsid w:val="0066754E"/>
    <w:rsid w:val="00670627"/>
    <w:rsid w:val="00673733"/>
    <w:rsid w:val="00674639"/>
    <w:rsid w:val="0067512D"/>
    <w:rsid w:val="00677A77"/>
    <w:rsid w:val="00677E34"/>
    <w:rsid w:val="00681844"/>
    <w:rsid w:val="00681A19"/>
    <w:rsid w:val="00681DBD"/>
    <w:rsid w:val="00682B22"/>
    <w:rsid w:val="0068313E"/>
    <w:rsid w:val="00685391"/>
    <w:rsid w:val="0068581E"/>
    <w:rsid w:val="00686D7F"/>
    <w:rsid w:val="00691858"/>
    <w:rsid w:val="00692313"/>
    <w:rsid w:val="00692EF9"/>
    <w:rsid w:val="006930B0"/>
    <w:rsid w:val="00694206"/>
    <w:rsid w:val="00694463"/>
    <w:rsid w:val="006A01D7"/>
    <w:rsid w:val="006A0E1C"/>
    <w:rsid w:val="006A0E72"/>
    <w:rsid w:val="006A1047"/>
    <w:rsid w:val="006A10F2"/>
    <w:rsid w:val="006A4D7D"/>
    <w:rsid w:val="006A56FC"/>
    <w:rsid w:val="006B0791"/>
    <w:rsid w:val="006B097B"/>
    <w:rsid w:val="006B0D8A"/>
    <w:rsid w:val="006B3E4B"/>
    <w:rsid w:val="006B643E"/>
    <w:rsid w:val="006B6663"/>
    <w:rsid w:val="006C1A40"/>
    <w:rsid w:val="006D07EC"/>
    <w:rsid w:val="006D0BA7"/>
    <w:rsid w:val="006D12A2"/>
    <w:rsid w:val="006D1FE9"/>
    <w:rsid w:val="006D4BBD"/>
    <w:rsid w:val="006D5655"/>
    <w:rsid w:val="006D56ED"/>
    <w:rsid w:val="006D6184"/>
    <w:rsid w:val="006D6D2B"/>
    <w:rsid w:val="006E1D39"/>
    <w:rsid w:val="006E59E5"/>
    <w:rsid w:val="006E6C83"/>
    <w:rsid w:val="006E740A"/>
    <w:rsid w:val="006E7E4F"/>
    <w:rsid w:val="006F0C51"/>
    <w:rsid w:val="006F0DCD"/>
    <w:rsid w:val="006F1DE7"/>
    <w:rsid w:val="006F1FF9"/>
    <w:rsid w:val="006F3DB5"/>
    <w:rsid w:val="006F647F"/>
    <w:rsid w:val="006F7528"/>
    <w:rsid w:val="00700E83"/>
    <w:rsid w:val="0070112E"/>
    <w:rsid w:val="00702A0D"/>
    <w:rsid w:val="00703D41"/>
    <w:rsid w:val="007064A5"/>
    <w:rsid w:val="00710437"/>
    <w:rsid w:val="00710E7C"/>
    <w:rsid w:val="007133B0"/>
    <w:rsid w:val="007136EA"/>
    <w:rsid w:val="007141B1"/>
    <w:rsid w:val="00714EC7"/>
    <w:rsid w:val="00715BD0"/>
    <w:rsid w:val="00716E1C"/>
    <w:rsid w:val="007207F2"/>
    <w:rsid w:val="00721BB0"/>
    <w:rsid w:val="00722D7C"/>
    <w:rsid w:val="00723462"/>
    <w:rsid w:val="007237AD"/>
    <w:rsid w:val="00724918"/>
    <w:rsid w:val="00727842"/>
    <w:rsid w:val="0073030C"/>
    <w:rsid w:val="0073222B"/>
    <w:rsid w:val="007348B9"/>
    <w:rsid w:val="0073641E"/>
    <w:rsid w:val="00742C19"/>
    <w:rsid w:val="007434E4"/>
    <w:rsid w:val="00743819"/>
    <w:rsid w:val="00743CC7"/>
    <w:rsid w:val="007456DA"/>
    <w:rsid w:val="0074732A"/>
    <w:rsid w:val="00747E97"/>
    <w:rsid w:val="00751B02"/>
    <w:rsid w:val="007521EE"/>
    <w:rsid w:val="007608D6"/>
    <w:rsid w:val="007632E2"/>
    <w:rsid w:val="0076364A"/>
    <w:rsid w:val="00763EFF"/>
    <w:rsid w:val="00764998"/>
    <w:rsid w:val="00764CB9"/>
    <w:rsid w:val="00766A23"/>
    <w:rsid w:val="00766B0F"/>
    <w:rsid w:val="00767264"/>
    <w:rsid w:val="00767654"/>
    <w:rsid w:val="007676C9"/>
    <w:rsid w:val="00767B2F"/>
    <w:rsid w:val="00773532"/>
    <w:rsid w:val="00773A5E"/>
    <w:rsid w:val="00774F61"/>
    <w:rsid w:val="00776408"/>
    <w:rsid w:val="00776DA0"/>
    <w:rsid w:val="00777658"/>
    <w:rsid w:val="0077795E"/>
    <w:rsid w:val="00777BB2"/>
    <w:rsid w:val="00781585"/>
    <w:rsid w:val="0078233D"/>
    <w:rsid w:val="00782D8A"/>
    <w:rsid w:val="00786E86"/>
    <w:rsid w:val="00792DBE"/>
    <w:rsid w:val="00794E7E"/>
    <w:rsid w:val="00795E45"/>
    <w:rsid w:val="007968C4"/>
    <w:rsid w:val="00797211"/>
    <w:rsid w:val="007A074B"/>
    <w:rsid w:val="007A0928"/>
    <w:rsid w:val="007A0A68"/>
    <w:rsid w:val="007A51A5"/>
    <w:rsid w:val="007A5405"/>
    <w:rsid w:val="007A6E9E"/>
    <w:rsid w:val="007B10DC"/>
    <w:rsid w:val="007B140D"/>
    <w:rsid w:val="007B3C19"/>
    <w:rsid w:val="007B6554"/>
    <w:rsid w:val="007B6FB4"/>
    <w:rsid w:val="007B7492"/>
    <w:rsid w:val="007C062F"/>
    <w:rsid w:val="007C16C8"/>
    <w:rsid w:val="007C23A7"/>
    <w:rsid w:val="007C284F"/>
    <w:rsid w:val="007C350E"/>
    <w:rsid w:val="007C4408"/>
    <w:rsid w:val="007C4FCE"/>
    <w:rsid w:val="007C7028"/>
    <w:rsid w:val="007D0B04"/>
    <w:rsid w:val="007D258C"/>
    <w:rsid w:val="007D2FAA"/>
    <w:rsid w:val="007D482B"/>
    <w:rsid w:val="007D4C39"/>
    <w:rsid w:val="007D6A6E"/>
    <w:rsid w:val="007D7E16"/>
    <w:rsid w:val="007E0206"/>
    <w:rsid w:val="007E0275"/>
    <w:rsid w:val="007E0844"/>
    <w:rsid w:val="007E1AEC"/>
    <w:rsid w:val="007E2AAF"/>
    <w:rsid w:val="007E3F4F"/>
    <w:rsid w:val="007E50F3"/>
    <w:rsid w:val="007E6B2F"/>
    <w:rsid w:val="007F1978"/>
    <w:rsid w:val="007F24FE"/>
    <w:rsid w:val="007F29C4"/>
    <w:rsid w:val="007F49A4"/>
    <w:rsid w:val="007F5BD8"/>
    <w:rsid w:val="007F69B9"/>
    <w:rsid w:val="00800F2D"/>
    <w:rsid w:val="00801BBC"/>
    <w:rsid w:val="00804461"/>
    <w:rsid w:val="0080465D"/>
    <w:rsid w:val="008058E0"/>
    <w:rsid w:val="0080693B"/>
    <w:rsid w:val="0081152D"/>
    <w:rsid w:val="00811C33"/>
    <w:rsid w:val="008151AB"/>
    <w:rsid w:val="00817078"/>
    <w:rsid w:val="0082476A"/>
    <w:rsid w:val="00824CAE"/>
    <w:rsid w:val="0082626B"/>
    <w:rsid w:val="0082656F"/>
    <w:rsid w:val="00831BC5"/>
    <w:rsid w:val="008322D6"/>
    <w:rsid w:val="008361C5"/>
    <w:rsid w:val="00837F5F"/>
    <w:rsid w:val="00841720"/>
    <w:rsid w:val="008418FB"/>
    <w:rsid w:val="00843BF0"/>
    <w:rsid w:val="00846D16"/>
    <w:rsid w:val="008516FC"/>
    <w:rsid w:val="008519B8"/>
    <w:rsid w:val="00852FD6"/>
    <w:rsid w:val="008540D6"/>
    <w:rsid w:val="00856A6A"/>
    <w:rsid w:val="0085722E"/>
    <w:rsid w:val="0085753E"/>
    <w:rsid w:val="00860875"/>
    <w:rsid w:val="00862997"/>
    <w:rsid w:val="00863677"/>
    <w:rsid w:val="00864595"/>
    <w:rsid w:val="00864CE3"/>
    <w:rsid w:val="0086558F"/>
    <w:rsid w:val="0086798F"/>
    <w:rsid w:val="00867C2D"/>
    <w:rsid w:val="008708FD"/>
    <w:rsid w:val="00871B03"/>
    <w:rsid w:val="0087443D"/>
    <w:rsid w:val="00874D79"/>
    <w:rsid w:val="00875355"/>
    <w:rsid w:val="00875CE2"/>
    <w:rsid w:val="00877896"/>
    <w:rsid w:val="00882C11"/>
    <w:rsid w:val="00885182"/>
    <w:rsid w:val="00885724"/>
    <w:rsid w:val="008865DB"/>
    <w:rsid w:val="00886F96"/>
    <w:rsid w:val="0089000C"/>
    <w:rsid w:val="00890DA1"/>
    <w:rsid w:val="00891407"/>
    <w:rsid w:val="00892B52"/>
    <w:rsid w:val="00893190"/>
    <w:rsid w:val="00893A3B"/>
    <w:rsid w:val="00895446"/>
    <w:rsid w:val="0089570A"/>
    <w:rsid w:val="0089709D"/>
    <w:rsid w:val="00897608"/>
    <w:rsid w:val="00897794"/>
    <w:rsid w:val="008A0983"/>
    <w:rsid w:val="008A24BF"/>
    <w:rsid w:val="008A2AAA"/>
    <w:rsid w:val="008A337C"/>
    <w:rsid w:val="008A5A5D"/>
    <w:rsid w:val="008B1257"/>
    <w:rsid w:val="008B4096"/>
    <w:rsid w:val="008B4E5A"/>
    <w:rsid w:val="008B5096"/>
    <w:rsid w:val="008B7D58"/>
    <w:rsid w:val="008C0296"/>
    <w:rsid w:val="008C2101"/>
    <w:rsid w:val="008C3012"/>
    <w:rsid w:val="008C4BD5"/>
    <w:rsid w:val="008C4D51"/>
    <w:rsid w:val="008C4E24"/>
    <w:rsid w:val="008C5347"/>
    <w:rsid w:val="008C7BDB"/>
    <w:rsid w:val="008C7C86"/>
    <w:rsid w:val="008D2560"/>
    <w:rsid w:val="008D383F"/>
    <w:rsid w:val="008D76F9"/>
    <w:rsid w:val="008D79D3"/>
    <w:rsid w:val="008E1AE0"/>
    <w:rsid w:val="008E206C"/>
    <w:rsid w:val="008E351F"/>
    <w:rsid w:val="008E4043"/>
    <w:rsid w:val="008E4A74"/>
    <w:rsid w:val="008E7259"/>
    <w:rsid w:val="008E7E86"/>
    <w:rsid w:val="008F5E97"/>
    <w:rsid w:val="008F7271"/>
    <w:rsid w:val="008F7A1B"/>
    <w:rsid w:val="008F7CCF"/>
    <w:rsid w:val="009016DB"/>
    <w:rsid w:val="00901DA3"/>
    <w:rsid w:val="00902903"/>
    <w:rsid w:val="00903906"/>
    <w:rsid w:val="00905B9E"/>
    <w:rsid w:val="00910A9B"/>
    <w:rsid w:val="00910B2C"/>
    <w:rsid w:val="0091180B"/>
    <w:rsid w:val="00911E1D"/>
    <w:rsid w:val="00912CF3"/>
    <w:rsid w:val="009138DC"/>
    <w:rsid w:val="009140DD"/>
    <w:rsid w:val="0091439C"/>
    <w:rsid w:val="00914628"/>
    <w:rsid w:val="00915562"/>
    <w:rsid w:val="0091784D"/>
    <w:rsid w:val="0092225E"/>
    <w:rsid w:val="00922B56"/>
    <w:rsid w:val="00922F6C"/>
    <w:rsid w:val="0092329C"/>
    <w:rsid w:val="009242EB"/>
    <w:rsid w:val="009252AE"/>
    <w:rsid w:val="0092567A"/>
    <w:rsid w:val="00925D07"/>
    <w:rsid w:val="0092609D"/>
    <w:rsid w:val="0092779C"/>
    <w:rsid w:val="00927899"/>
    <w:rsid w:val="009303FB"/>
    <w:rsid w:val="00932104"/>
    <w:rsid w:val="00933527"/>
    <w:rsid w:val="00933FD4"/>
    <w:rsid w:val="0093499C"/>
    <w:rsid w:val="00937661"/>
    <w:rsid w:val="00940739"/>
    <w:rsid w:val="00940B5F"/>
    <w:rsid w:val="00940C73"/>
    <w:rsid w:val="00940FB2"/>
    <w:rsid w:val="00943CCA"/>
    <w:rsid w:val="009471E6"/>
    <w:rsid w:val="00950336"/>
    <w:rsid w:val="00950F74"/>
    <w:rsid w:val="0095236E"/>
    <w:rsid w:val="00953184"/>
    <w:rsid w:val="009535DF"/>
    <w:rsid w:val="0095659D"/>
    <w:rsid w:val="009600A6"/>
    <w:rsid w:val="00961E93"/>
    <w:rsid w:val="00962055"/>
    <w:rsid w:val="00962113"/>
    <w:rsid w:val="009631F6"/>
    <w:rsid w:val="00963611"/>
    <w:rsid w:val="009638C9"/>
    <w:rsid w:val="00966C27"/>
    <w:rsid w:val="009676B1"/>
    <w:rsid w:val="00970186"/>
    <w:rsid w:val="009721AF"/>
    <w:rsid w:val="009722C3"/>
    <w:rsid w:val="0097293A"/>
    <w:rsid w:val="009736F1"/>
    <w:rsid w:val="00973BE7"/>
    <w:rsid w:val="00973C73"/>
    <w:rsid w:val="009840C3"/>
    <w:rsid w:val="00985366"/>
    <w:rsid w:val="00985543"/>
    <w:rsid w:val="009856D7"/>
    <w:rsid w:val="00986BB5"/>
    <w:rsid w:val="00990211"/>
    <w:rsid w:val="00990231"/>
    <w:rsid w:val="00991615"/>
    <w:rsid w:val="0099165D"/>
    <w:rsid w:val="009919B8"/>
    <w:rsid w:val="00992FE4"/>
    <w:rsid w:val="00995610"/>
    <w:rsid w:val="009962F4"/>
    <w:rsid w:val="009A17AB"/>
    <w:rsid w:val="009A1C75"/>
    <w:rsid w:val="009A2C2B"/>
    <w:rsid w:val="009A5A6D"/>
    <w:rsid w:val="009B2213"/>
    <w:rsid w:val="009B50A9"/>
    <w:rsid w:val="009C0704"/>
    <w:rsid w:val="009C5540"/>
    <w:rsid w:val="009C5931"/>
    <w:rsid w:val="009C682F"/>
    <w:rsid w:val="009D19E4"/>
    <w:rsid w:val="009D1DD0"/>
    <w:rsid w:val="009D27E9"/>
    <w:rsid w:val="009D51FE"/>
    <w:rsid w:val="009D5F7D"/>
    <w:rsid w:val="009D7A84"/>
    <w:rsid w:val="009E0625"/>
    <w:rsid w:val="009E083E"/>
    <w:rsid w:val="009E20B5"/>
    <w:rsid w:val="009E2343"/>
    <w:rsid w:val="009E34DF"/>
    <w:rsid w:val="009E651F"/>
    <w:rsid w:val="009E6D3F"/>
    <w:rsid w:val="009E723F"/>
    <w:rsid w:val="009F25A0"/>
    <w:rsid w:val="009F2D77"/>
    <w:rsid w:val="009F5A08"/>
    <w:rsid w:val="009F5C97"/>
    <w:rsid w:val="009F7CDF"/>
    <w:rsid w:val="00A0000F"/>
    <w:rsid w:val="00A002B5"/>
    <w:rsid w:val="00A01308"/>
    <w:rsid w:val="00A030BB"/>
    <w:rsid w:val="00A03641"/>
    <w:rsid w:val="00A03E73"/>
    <w:rsid w:val="00A0738A"/>
    <w:rsid w:val="00A10808"/>
    <w:rsid w:val="00A138B3"/>
    <w:rsid w:val="00A138C4"/>
    <w:rsid w:val="00A1473B"/>
    <w:rsid w:val="00A14B20"/>
    <w:rsid w:val="00A16B51"/>
    <w:rsid w:val="00A207F5"/>
    <w:rsid w:val="00A24944"/>
    <w:rsid w:val="00A251FA"/>
    <w:rsid w:val="00A266AE"/>
    <w:rsid w:val="00A31A77"/>
    <w:rsid w:val="00A329C9"/>
    <w:rsid w:val="00A33001"/>
    <w:rsid w:val="00A342E2"/>
    <w:rsid w:val="00A35C5B"/>
    <w:rsid w:val="00A40CF5"/>
    <w:rsid w:val="00A41670"/>
    <w:rsid w:val="00A4276C"/>
    <w:rsid w:val="00A43B2D"/>
    <w:rsid w:val="00A44B9C"/>
    <w:rsid w:val="00A464D6"/>
    <w:rsid w:val="00A4669B"/>
    <w:rsid w:val="00A470A7"/>
    <w:rsid w:val="00A473CC"/>
    <w:rsid w:val="00A47411"/>
    <w:rsid w:val="00A5124A"/>
    <w:rsid w:val="00A53B12"/>
    <w:rsid w:val="00A56322"/>
    <w:rsid w:val="00A56E7C"/>
    <w:rsid w:val="00A56E84"/>
    <w:rsid w:val="00A57415"/>
    <w:rsid w:val="00A6146D"/>
    <w:rsid w:val="00A61988"/>
    <w:rsid w:val="00A65170"/>
    <w:rsid w:val="00A67783"/>
    <w:rsid w:val="00A71AC8"/>
    <w:rsid w:val="00A7322A"/>
    <w:rsid w:val="00A74B05"/>
    <w:rsid w:val="00A82B2D"/>
    <w:rsid w:val="00A832D8"/>
    <w:rsid w:val="00A838EB"/>
    <w:rsid w:val="00A83A8B"/>
    <w:rsid w:val="00A847D0"/>
    <w:rsid w:val="00A8689C"/>
    <w:rsid w:val="00A87239"/>
    <w:rsid w:val="00A872C6"/>
    <w:rsid w:val="00A87389"/>
    <w:rsid w:val="00A8763F"/>
    <w:rsid w:val="00A909CB"/>
    <w:rsid w:val="00A91CDB"/>
    <w:rsid w:val="00A9283B"/>
    <w:rsid w:val="00A935EB"/>
    <w:rsid w:val="00A93857"/>
    <w:rsid w:val="00A939FA"/>
    <w:rsid w:val="00A93D4E"/>
    <w:rsid w:val="00A94542"/>
    <w:rsid w:val="00A97BB1"/>
    <w:rsid w:val="00AA2113"/>
    <w:rsid w:val="00AA21CF"/>
    <w:rsid w:val="00AA22FC"/>
    <w:rsid w:val="00AA3C6B"/>
    <w:rsid w:val="00AA4903"/>
    <w:rsid w:val="00AA4BDA"/>
    <w:rsid w:val="00AA6034"/>
    <w:rsid w:val="00AA7C9D"/>
    <w:rsid w:val="00AA7F89"/>
    <w:rsid w:val="00AB0037"/>
    <w:rsid w:val="00AB128F"/>
    <w:rsid w:val="00AB12B4"/>
    <w:rsid w:val="00AB1795"/>
    <w:rsid w:val="00AB2752"/>
    <w:rsid w:val="00AB3223"/>
    <w:rsid w:val="00AB521F"/>
    <w:rsid w:val="00AB7B85"/>
    <w:rsid w:val="00AC06BB"/>
    <w:rsid w:val="00AC0813"/>
    <w:rsid w:val="00AC2B76"/>
    <w:rsid w:val="00AC3ACC"/>
    <w:rsid w:val="00AC3C64"/>
    <w:rsid w:val="00AC474D"/>
    <w:rsid w:val="00AC778E"/>
    <w:rsid w:val="00AD0D5D"/>
    <w:rsid w:val="00AD2F5A"/>
    <w:rsid w:val="00AD4E0B"/>
    <w:rsid w:val="00AD5FD9"/>
    <w:rsid w:val="00AD68CB"/>
    <w:rsid w:val="00AD7ECC"/>
    <w:rsid w:val="00AE0645"/>
    <w:rsid w:val="00AE108D"/>
    <w:rsid w:val="00AE1FF4"/>
    <w:rsid w:val="00AE301E"/>
    <w:rsid w:val="00AE31A7"/>
    <w:rsid w:val="00AE3FF9"/>
    <w:rsid w:val="00AE4A0E"/>
    <w:rsid w:val="00AE4DB3"/>
    <w:rsid w:val="00AE547B"/>
    <w:rsid w:val="00AE5D49"/>
    <w:rsid w:val="00AE68A7"/>
    <w:rsid w:val="00AE6D10"/>
    <w:rsid w:val="00AF052D"/>
    <w:rsid w:val="00AF0D10"/>
    <w:rsid w:val="00AF1BDF"/>
    <w:rsid w:val="00AF1EA8"/>
    <w:rsid w:val="00AF299D"/>
    <w:rsid w:val="00AF2B0D"/>
    <w:rsid w:val="00AF2DD6"/>
    <w:rsid w:val="00B009E4"/>
    <w:rsid w:val="00B01D8B"/>
    <w:rsid w:val="00B02A70"/>
    <w:rsid w:val="00B0338D"/>
    <w:rsid w:val="00B04731"/>
    <w:rsid w:val="00B0642A"/>
    <w:rsid w:val="00B0682B"/>
    <w:rsid w:val="00B06B22"/>
    <w:rsid w:val="00B06F9F"/>
    <w:rsid w:val="00B10CD7"/>
    <w:rsid w:val="00B121B1"/>
    <w:rsid w:val="00B13E76"/>
    <w:rsid w:val="00B20442"/>
    <w:rsid w:val="00B226E1"/>
    <w:rsid w:val="00B23075"/>
    <w:rsid w:val="00B24CF2"/>
    <w:rsid w:val="00B25AAE"/>
    <w:rsid w:val="00B25C52"/>
    <w:rsid w:val="00B2739C"/>
    <w:rsid w:val="00B3025B"/>
    <w:rsid w:val="00B37BED"/>
    <w:rsid w:val="00B37C0E"/>
    <w:rsid w:val="00B40AE1"/>
    <w:rsid w:val="00B415A0"/>
    <w:rsid w:val="00B4309E"/>
    <w:rsid w:val="00B43125"/>
    <w:rsid w:val="00B44EE8"/>
    <w:rsid w:val="00B45057"/>
    <w:rsid w:val="00B454CA"/>
    <w:rsid w:val="00B45B68"/>
    <w:rsid w:val="00B47B0A"/>
    <w:rsid w:val="00B51A25"/>
    <w:rsid w:val="00B5356F"/>
    <w:rsid w:val="00B546D8"/>
    <w:rsid w:val="00B5488B"/>
    <w:rsid w:val="00B55639"/>
    <w:rsid w:val="00B55871"/>
    <w:rsid w:val="00B55E0B"/>
    <w:rsid w:val="00B56276"/>
    <w:rsid w:val="00B565EB"/>
    <w:rsid w:val="00B60772"/>
    <w:rsid w:val="00B611AD"/>
    <w:rsid w:val="00B614B1"/>
    <w:rsid w:val="00B668EA"/>
    <w:rsid w:val="00B67F49"/>
    <w:rsid w:val="00B730DA"/>
    <w:rsid w:val="00B74D02"/>
    <w:rsid w:val="00B807AF"/>
    <w:rsid w:val="00B81ADA"/>
    <w:rsid w:val="00B8547E"/>
    <w:rsid w:val="00B85F7D"/>
    <w:rsid w:val="00B86A85"/>
    <w:rsid w:val="00B90349"/>
    <w:rsid w:val="00B95B9D"/>
    <w:rsid w:val="00B96133"/>
    <w:rsid w:val="00B96AC0"/>
    <w:rsid w:val="00B97D6F"/>
    <w:rsid w:val="00B97D91"/>
    <w:rsid w:val="00BA14DA"/>
    <w:rsid w:val="00BA71EC"/>
    <w:rsid w:val="00BB0CEA"/>
    <w:rsid w:val="00BB20A5"/>
    <w:rsid w:val="00BB20C4"/>
    <w:rsid w:val="00BB4098"/>
    <w:rsid w:val="00BB4374"/>
    <w:rsid w:val="00BB4AB4"/>
    <w:rsid w:val="00BB5386"/>
    <w:rsid w:val="00BB5BDE"/>
    <w:rsid w:val="00BC34C5"/>
    <w:rsid w:val="00BC37E9"/>
    <w:rsid w:val="00BC53D6"/>
    <w:rsid w:val="00BC6C4C"/>
    <w:rsid w:val="00BD0251"/>
    <w:rsid w:val="00BD1549"/>
    <w:rsid w:val="00BD4414"/>
    <w:rsid w:val="00BD4BE1"/>
    <w:rsid w:val="00BD577C"/>
    <w:rsid w:val="00BD63D2"/>
    <w:rsid w:val="00BD6909"/>
    <w:rsid w:val="00BD7485"/>
    <w:rsid w:val="00BE027D"/>
    <w:rsid w:val="00BE0824"/>
    <w:rsid w:val="00BE1B9E"/>
    <w:rsid w:val="00BE3132"/>
    <w:rsid w:val="00BE3796"/>
    <w:rsid w:val="00BE6854"/>
    <w:rsid w:val="00BE6B5C"/>
    <w:rsid w:val="00BE7878"/>
    <w:rsid w:val="00BE799A"/>
    <w:rsid w:val="00BF298D"/>
    <w:rsid w:val="00BF38BC"/>
    <w:rsid w:val="00BF3DB8"/>
    <w:rsid w:val="00BF4EDF"/>
    <w:rsid w:val="00BF533F"/>
    <w:rsid w:val="00BF659B"/>
    <w:rsid w:val="00BF6B8A"/>
    <w:rsid w:val="00BF7655"/>
    <w:rsid w:val="00C0107F"/>
    <w:rsid w:val="00C0143C"/>
    <w:rsid w:val="00C03CD8"/>
    <w:rsid w:val="00C048C5"/>
    <w:rsid w:val="00C0738C"/>
    <w:rsid w:val="00C0792B"/>
    <w:rsid w:val="00C10216"/>
    <w:rsid w:val="00C12F1C"/>
    <w:rsid w:val="00C12FF3"/>
    <w:rsid w:val="00C13373"/>
    <w:rsid w:val="00C14DED"/>
    <w:rsid w:val="00C1618A"/>
    <w:rsid w:val="00C163EE"/>
    <w:rsid w:val="00C2182A"/>
    <w:rsid w:val="00C21ABC"/>
    <w:rsid w:val="00C22264"/>
    <w:rsid w:val="00C226C8"/>
    <w:rsid w:val="00C231D9"/>
    <w:rsid w:val="00C23F30"/>
    <w:rsid w:val="00C24113"/>
    <w:rsid w:val="00C241EB"/>
    <w:rsid w:val="00C25749"/>
    <w:rsid w:val="00C26D5A"/>
    <w:rsid w:val="00C26FF1"/>
    <w:rsid w:val="00C3089F"/>
    <w:rsid w:val="00C31E89"/>
    <w:rsid w:val="00C352FB"/>
    <w:rsid w:val="00C359B8"/>
    <w:rsid w:val="00C3633B"/>
    <w:rsid w:val="00C37A9F"/>
    <w:rsid w:val="00C40952"/>
    <w:rsid w:val="00C417D1"/>
    <w:rsid w:val="00C418D3"/>
    <w:rsid w:val="00C419FF"/>
    <w:rsid w:val="00C42E65"/>
    <w:rsid w:val="00C43CE9"/>
    <w:rsid w:val="00C45420"/>
    <w:rsid w:val="00C45BE7"/>
    <w:rsid w:val="00C45E4F"/>
    <w:rsid w:val="00C46A0E"/>
    <w:rsid w:val="00C50687"/>
    <w:rsid w:val="00C50707"/>
    <w:rsid w:val="00C50961"/>
    <w:rsid w:val="00C519ED"/>
    <w:rsid w:val="00C51C9F"/>
    <w:rsid w:val="00C6117C"/>
    <w:rsid w:val="00C61C8F"/>
    <w:rsid w:val="00C62428"/>
    <w:rsid w:val="00C624D3"/>
    <w:rsid w:val="00C62EA9"/>
    <w:rsid w:val="00C66B59"/>
    <w:rsid w:val="00C72837"/>
    <w:rsid w:val="00C7294C"/>
    <w:rsid w:val="00C73911"/>
    <w:rsid w:val="00C7455A"/>
    <w:rsid w:val="00C74A0F"/>
    <w:rsid w:val="00C74CEF"/>
    <w:rsid w:val="00C75DEE"/>
    <w:rsid w:val="00C76380"/>
    <w:rsid w:val="00C7721B"/>
    <w:rsid w:val="00C80B64"/>
    <w:rsid w:val="00C8240E"/>
    <w:rsid w:val="00C825D9"/>
    <w:rsid w:val="00C838AF"/>
    <w:rsid w:val="00C84095"/>
    <w:rsid w:val="00C919B3"/>
    <w:rsid w:val="00C91D51"/>
    <w:rsid w:val="00C92B0A"/>
    <w:rsid w:val="00C92E82"/>
    <w:rsid w:val="00C95901"/>
    <w:rsid w:val="00CA1496"/>
    <w:rsid w:val="00CA2050"/>
    <w:rsid w:val="00CA46B7"/>
    <w:rsid w:val="00CA480D"/>
    <w:rsid w:val="00CA582E"/>
    <w:rsid w:val="00CA612B"/>
    <w:rsid w:val="00CA6155"/>
    <w:rsid w:val="00CA6A29"/>
    <w:rsid w:val="00CA6A4E"/>
    <w:rsid w:val="00CA6F81"/>
    <w:rsid w:val="00CB055D"/>
    <w:rsid w:val="00CB3A0A"/>
    <w:rsid w:val="00CB4699"/>
    <w:rsid w:val="00CB542E"/>
    <w:rsid w:val="00CB5BB7"/>
    <w:rsid w:val="00CB7AB4"/>
    <w:rsid w:val="00CC0150"/>
    <w:rsid w:val="00CC0C69"/>
    <w:rsid w:val="00CC19EC"/>
    <w:rsid w:val="00CC2022"/>
    <w:rsid w:val="00CC7802"/>
    <w:rsid w:val="00CD4D93"/>
    <w:rsid w:val="00CE0378"/>
    <w:rsid w:val="00CE0A10"/>
    <w:rsid w:val="00CE0B39"/>
    <w:rsid w:val="00CE0BAE"/>
    <w:rsid w:val="00CE3C0E"/>
    <w:rsid w:val="00CE3C17"/>
    <w:rsid w:val="00CE3E6A"/>
    <w:rsid w:val="00CE5619"/>
    <w:rsid w:val="00CE6516"/>
    <w:rsid w:val="00CE6F18"/>
    <w:rsid w:val="00CE75F2"/>
    <w:rsid w:val="00CE7964"/>
    <w:rsid w:val="00CF1D89"/>
    <w:rsid w:val="00CF740D"/>
    <w:rsid w:val="00CF7543"/>
    <w:rsid w:val="00D011B2"/>
    <w:rsid w:val="00D05427"/>
    <w:rsid w:val="00D06DFA"/>
    <w:rsid w:val="00D1065B"/>
    <w:rsid w:val="00D10DCB"/>
    <w:rsid w:val="00D10F52"/>
    <w:rsid w:val="00D113A0"/>
    <w:rsid w:val="00D12769"/>
    <w:rsid w:val="00D13173"/>
    <w:rsid w:val="00D13974"/>
    <w:rsid w:val="00D13E3A"/>
    <w:rsid w:val="00D15863"/>
    <w:rsid w:val="00D200A4"/>
    <w:rsid w:val="00D20260"/>
    <w:rsid w:val="00D20985"/>
    <w:rsid w:val="00D21575"/>
    <w:rsid w:val="00D21B0D"/>
    <w:rsid w:val="00D234AB"/>
    <w:rsid w:val="00D2429D"/>
    <w:rsid w:val="00D32102"/>
    <w:rsid w:val="00D332BE"/>
    <w:rsid w:val="00D35BCD"/>
    <w:rsid w:val="00D37422"/>
    <w:rsid w:val="00D37FA3"/>
    <w:rsid w:val="00D41EB5"/>
    <w:rsid w:val="00D41FA1"/>
    <w:rsid w:val="00D43A49"/>
    <w:rsid w:val="00D45DEA"/>
    <w:rsid w:val="00D45E77"/>
    <w:rsid w:val="00D45F2F"/>
    <w:rsid w:val="00D46B49"/>
    <w:rsid w:val="00D47BBE"/>
    <w:rsid w:val="00D5182C"/>
    <w:rsid w:val="00D56DB0"/>
    <w:rsid w:val="00D57919"/>
    <w:rsid w:val="00D57A67"/>
    <w:rsid w:val="00D62017"/>
    <w:rsid w:val="00D6236C"/>
    <w:rsid w:val="00D679FB"/>
    <w:rsid w:val="00D70105"/>
    <w:rsid w:val="00D705F9"/>
    <w:rsid w:val="00D72D1A"/>
    <w:rsid w:val="00D77681"/>
    <w:rsid w:val="00D80FD3"/>
    <w:rsid w:val="00D82B18"/>
    <w:rsid w:val="00D82C52"/>
    <w:rsid w:val="00D8349F"/>
    <w:rsid w:val="00D85AC1"/>
    <w:rsid w:val="00D8618B"/>
    <w:rsid w:val="00D86B6E"/>
    <w:rsid w:val="00D9003B"/>
    <w:rsid w:val="00D947F6"/>
    <w:rsid w:val="00D97107"/>
    <w:rsid w:val="00DA2864"/>
    <w:rsid w:val="00DA2B97"/>
    <w:rsid w:val="00DA2C9E"/>
    <w:rsid w:val="00DA3523"/>
    <w:rsid w:val="00DA7975"/>
    <w:rsid w:val="00DB2003"/>
    <w:rsid w:val="00DB3100"/>
    <w:rsid w:val="00DB668C"/>
    <w:rsid w:val="00DB79A4"/>
    <w:rsid w:val="00DB7FF9"/>
    <w:rsid w:val="00DC2360"/>
    <w:rsid w:val="00DC24E5"/>
    <w:rsid w:val="00DC259C"/>
    <w:rsid w:val="00DC300E"/>
    <w:rsid w:val="00DC3251"/>
    <w:rsid w:val="00DC44FE"/>
    <w:rsid w:val="00DC47B2"/>
    <w:rsid w:val="00DC5920"/>
    <w:rsid w:val="00DC7780"/>
    <w:rsid w:val="00DD0991"/>
    <w:rsid w:val="00DD0B7F"/>
    <w:rsid w:val="00DD2577"/>
    <w:rsid w:val="00DD28A6"/>
    <w:rsid w:val="00DD4050"/>
    <w:rsid w:val="00DD4723"/>
    <w:rsid w:val="00DD4AC8"/>
    <w:rsid w:val="00DD59AB"/>
    <w:rsid w:val="00DD72CC"/>
    <w:rsid w:val="00DE1131"/>
    <w:rsid w:val="00DE151C"/>
    <w:rsid w:val="00DE3336"/>
    <w:rsid w:val="00DE356D"/>
    <w:rsid w:val="00DE3588"/>
    <w:rsid w:val="00DE4767"/>
    <w:rsid w:val="00DE5F6A"/>
    <w:rsid w:val="00DE6ABB"/>
    <w:rsid w:val="00DE6C5C"/>
    <w:rsid w:val="00DE70A2"/>
    <w:rsid w:val="00DE79D1"/>
    <w:rsid w:val="00DF2866"/>
    <w:rsid w:val="00DF30FD"/>
    <w:rsid w:val="00DF3719"/>
    <w:rsid w:val="00DF54FE"/>
    <w:rsid w:val="00DF5E45"/>
    <w:rsid w:val="00DF7897"/>
    <w:rsid w:val="00DF7E8A"/>
    <w:rsid w:val="00E019BA"/>
    <w:rsid w:val="00E04154"/>
    <w:rsid w:val="00E05C6A"/>
    <w:rsid w:val="00E05DEF"/>
    <w:rsid w:val="00E05E73"/>
    <w:rsid w:val="00E10341"/>
    <w:rsid w:val="00E11090"/>
    <w:rsid w:val="00E11A3F"/>
    <w:rsid w:val="00E12E32"/>
    <w:rsid w:val="00E144EC"/>
    <w:rsid w:val="00E14A0B"/>
    <w:rsid w:val="00E159E4"/>
    <w:rsid w:val="00E15E45"/>
    <w:rsid w:val="00E17978"/>
    <w:rsid w:val="00E22DA7"/>
    <w:rsid w:val="00E22ED1"/>
    <w:rsid w:val="00E23201"/>
    <w:rsid w:val="00E23ADC"/>
    <w:rsid w:val="00E23AE9"/>
    <w:rsid w:val="00E245C7"/>
    <w:rsid w:val="00E24C48"/>
    <w:rsid w:val="00E25C83"/>
    <w:rsid w:val="00E307EE"/>
    <w:rsid w:val="00E30917"/>
    <w:rsid w:val="00E32527"/>
    <w:rsid w:val="00E32DA2"/>
    <w:rsid w:val="00E33A22"/>
    <w:rsid w:val="00E34104"/>
    <w:rsid w:val="00E36CDD"/>
    <w:rsid w:val="00E376DF"/>
    <w:rsid w:val="00E3790A"/>
    <w:rsid w:val="00E4229E"/>
    <w:rsid w:val="00E42CE8"/>
    <w:rsid w:val="00E42DE8"/>
    <w:rsid w:val="00E438A8"/>
    <w:rsid w:val="00E477CC"/>
    <w:rsid w:val="00E47C0E"/>
    <w:rsid w:val="00E47F76"/>
    <w:rsid w:val="00E508FE"/>
    <w:rsid w:val="00E54FC9"/>
    <w:rsid w:val="00E55589"/>
    <w:rsid w:val="00E558DE"/>
    <w:rsid w:val="00E565B8"/>
    <w:rsid w:val="00E57CAF"/>
    <w:rsid w:val="00E626B5"/>
    <w:rsid w:val="00E626E6"/>
    <w:rsid w:val="00E638E4"/>
    <w:rsid w:val="00E63A79"/>
    <w:rsid w:val="00E63D4E"/>
    <w:rsid w:val="00E63E30"/>
    <w:rsid w:val="00E64EF6"/>
    <w:rsid w:val="00E65682"/>
    <w:rsid w:val="00E70E22"/>
    <w:rsid w:val="00E726DA"/>
    <w:rsid w:val="00E73319"/>
    <w:rsid w:val="00E7381C"/>
    <w:rsid w:val="00E74598"/>
    <w:rsid w:val="00E751F3"/>
    <w:rsid w:val="00E75C68"/>
    <w:rsid w:val="00E75DB6"/>
    <w:rsid w:val="00E76B1B"/>
    <w:rsid w:val="00E8139A"/>
    <w:rsid w:val="00E83142"/>
    <w:rsid w:val="00E83481"/>
    <w:rsid w:val="00E83616"/>
    <w:rsid w:val="00E836BE"/>
    <w:rsid w:val="00E8423D"/>
    <w:rsid w:val="00E857C9"/>
    <w:rsid w:val="00E85C63"/>
    <w:rsid w:val="00E863D4"/>
    <w:rsid w:val="00E8748E"/>
    <w:rsid w:val="00E87537"/>
    <w:rsid w:val="00E87A23"/>
    <w:rsid w:val="00E929AB"/>
    <w:rsid w:val="00E92A5D"/>
    <w:rsid w:val="00E932D0"/>
    <w:rsid w:val="00E93C6C"/>
    <w:rsid w:val="00E955FF"/>
    <w:rsid w:val="00E95A52"/>
    <w:rsid w:val="00E962E5"/>
    <w:rsid w:val="00E96E93"/>
    <w:rsid w:val="00E970F3"/>
    <w:rsid w:val="00EA4BD9"/>
    <w:rsid w:val="00EA5266"/>
    <w:rsid w:val="00EB2301"/>
    <w:rsid w:val="00EB2F3A"/>
    <w:rsid w:val="00EC11A6"/>
    <w:rsid w:val="00EC1695"/>
    <w:rsid w:val="00EC249A"/>
    <w:rsid w:val="00EC6C6C"/>
    <w:rsid w:val="00ED1474"/>
    <w:rsid w:val="00ED2D3C"/>
    <w:rsid w:val="00ED4E31"/>
    <w:rsid w:val="00ED7098"/>
    <w:rsid w:val="00EE240D"/>
    <w:rsid w:val="00EE4858"/>
    <w:rsid w:val="00EE4A1A"/>
    <w:rsid w:val="00EE56BA"/>
    <w:rsid w:val="00EE5B9D"/>
    <w:rsid w:val="00EE7126"/>
    <w:rsid w:val="00EF0A88"/>
    <w:rsid w:val="00EF27A0"/>
    <w:rsid w:val="00EF29D9"/>
    <w:rsid w:val="00EF3108"/>
    <w:rsid w:val="00EF6297"/>
    <w:rsid w:val="00F0045F"/>
    <w:rsid w:val="00F034D1"/>
    <w:rsid w:val="00F10AE3"/>
    <w:rsid w:val="00F12D92"/>
    <w:rsid w:val="00F138E8"/>
    <w:rsid w:val="00F13ECC"/>
    <w:rsid w:val="00F15949"/>
    <w:rsid w:val="00F15F13"/>
    <w:rsid w:val="00F1717C"/>
    <w:rsid w:val="00F172FB"/>
    <w:rsid w:val="00F17B6A"/>
    <w:rsid w:val="00F17FFD"/>
    <w:rsid w:val="00F22670"/>
    <w:rsid w:val="00F23063"/>
    <w:rsid w:val="00F233C9"/>
    <w:rsid w:val="00F235F8"/>
    <w:rsid w:val="00F25183"/>
    <w:rsid w:val="00F252F0"/>
    <w:rsid w:val="00F25CA4"/>
    <w:rsid w:val="00F30AB2"/>
    <w:rsid w:val="00F30CED"/>
    <w:rsid w:val="00F3245F"/>
    <w:rsid w:val="00F35467"/>
    <w:rsid w:val="00F3590F"/>
    <w:rsid w:val="00F35C11"/>
    <w:rsid w:val="00F417DC"/>
    <w:rsid w:val="00F419F8"/>
    <w:rsid w:val="00F421C6"/>
    <w:rsid w:val="00F478E9"/>
    <w:rsid w:val="00F47C2F"/>
    <w:rsid w:val="00F50617"/>
    <w:rsid w:val="00F52C64"/>
    <w:rsid w:val="00F5408C"/>
    <w:rsid w:val="00F54288"/>
    <w:rsid w:val="00F551D2"/>
    <w:rsid w:val="00F55471"/>
    <w:rsid w:val="00F5716F"/>
    <w:rsid w:val="00F60D11"/>
    <w:rsid w:val="00F624F6"/>
    <w:rsid w:val="00F6466C"/>
    <w:rsid w:val="00F65372"/>
    <w:rsid w:val="00F66499"/>
    <w:rsid w:val="00F66E9A"/>
    <w:rsid w:val="00F67C3D"/>
    <w:rsid w:val="00F70759"/>
    <w:rsid w:val="00F71E90"/>
    <w:rsid w:val="00F72CAB"/>
    <w:rsid w:val="00F73EF2"/>
    <w:rsid w:val="00F74716"/>
    <w:rsid w:val="00F751FE"/>
    <w:rsid w:val="00F75451"/>
    <w:rsid w:val="00F76902"/>
    <w:rsid w:val="00F77A5F"/>
    <w:rsid w:val="00F8041E"/>
    <w:rsid w:val="00F815BE"/>
    <w:rsid w:val="00F82599"/>
    <w:rsid w:val="00F83970"/>
    <w:rsid w:val="00F85A12"/>
    <w:rsid w:val="00F863B5"/>
    <w:rsid w:val="00F86C7D"/>
    <w:rsid w:val="00F93571"/>
    <w:rsid w:val="00F93D58"/>
    <w:rsid w:val="00F94260"/>
    <w:rsid w:val="00F96A83"/>
    <w:rsid w:val="00F96D4C"/>
    <w:rsid w:val="00F96D7E"/>
    <w:rsid w:val="00F97302"/>
    <w:rsid w:val="00FA145E"/>
    <w:rsid w:val="00FA1832"/>
    <w:rsid w:val="00FA1FAC"/>
    <w:rsid w:val="00FA204E"/>
    <w:rsid w:val="00FA3410"/>
    <w:rsid w:val="00FA364A"/>
    <w:rsid w:val="00FA4DCE"/>
    <w:rsid w:val="00FA5CBF"/>
    <w:rsid w:val="00FA7DD6"/>
    <w:rsid w:val="00FA7EC0"/>
    <w:rsid w:val="00FA7F24"/>
    <w:rsid w:val="00FB06B7"/>
    <w:rsid w:val="00FB1782"/>
    <w:rsid w:val="00FB24F3"/>
    <w:rsid w:val="00FB40E5"/>
    <w:rsid w:val="00FB5EE5"/>
    <w:rsid w:val="00FB7EE3"/>
    <w:rsid w:val="00FC016F"/>
    <w:rsid w:val="00FC264D"/>
    <w:rsid w:val="00FC4FAF"/>
    <w:rsid w:val="00FC513A"/>
    <w:rsid w:val="00FC6272"/>
    <w:rsid w:val="00FC6BF6"/>
    <w:rsid w:val="00FD179D"/>
    <w:rsid w:val="00FD1E3D"/>
    <w:rsid w:val="00FD2B92"/>
    <w:rsid w:val="00FD3160"/>
    <w:rsid w:val="00FD341F"/>
    <w:rsid w:val="00FD6BD6"/>
    <w:rsid w:val="00FD74B3"/>
    <w:rsid w:val="00FD778F"/>
    <w:rsid w:val="00FE1496"/>
    <w:rsid w:val="00FE15CE"/>
    <w:rsid w:val="00FE1ECC"/>
    <w:rsid w:val="00FE7E91"/>
    <w:rsid w:val="00FF1263"/>
    <w:rsid w:val="00FF1BFC"/>
    <w:rsid w:val="00FF1FD6"/>
    <w:rsid w:val="00FF388C"/>
    <w:rsid w:val="00FF42D4"/>
    <w:rsid w:val="00FF5A1D"/>
    <w:rsid w:val="00FF6495"/>
    <w:rsid w:val="00FF753D"/>
    <w:rsid w:val="00FF7D06"/>
    <w:rsid w:val="01A50370"/>
    <w:rsid w:val="034F46D6"/>
    <w:rsid w:val="079707BA"/>
    <w:rsid w:val="07997219"/>
    <w:rsid w:val="089645E3"/>
    <w:rsid w:val="0965366A"/>
    <w:rsid w:val="0A405895"/>
    <w:rsid w:val="0A556F3F"/>
    <w:rsid w:val="103E2B29"/>
    <w:rsid w:val="10B06469"/>
    <w:rsid w:val="130F1339"/>
    <w:rsid w:val="15597B80"/>
    <w:rsid w:val="17580A4C"/>
    <w:rsid w:val="18856728"/>
    <w:rsid w:val="1CF4463D"/>
    <w:rsid w:val="1DA43419"/>
    <w:rsid w:val="1E8248A2"/>
    <w:rsid w:val="1FF02384"/>
    <w:rsid w:val="21BC34C0"/>
    <w:rsid w:val="21F86FCD"/>
    <w:rsid w:val="22C63292"/>
    <w:rsid w:val="24D96E19"/>
    <w:rsid w:val="25804F0B"/>
    <w:rsid w:val="26B40096"/>
    <w:rsid w:val="29CF5E6A"/>
    <w:rsid w:val="2DB927AF"/>
    <w:rsid w:val="2F2A38E0"/>
    <w:rsid w:val="31025B09"/>
    <w:rsid w:val="36BA592E"/>
    <w:rsid w:val="3AA52853"/>
    <w:rsid w:val="3C310A90"/>
    <w:rsid w:val="3E6E7558"/>
    <w:rsid w:val="3FCA39AD"/>
    <w:rsid w:val="40A76C86"/>
    <w:rsid w:val="44F9396D"/>
    <w:rsid w:val="45DC5CF4"/>
    <w:rsid w:val="46963522"/>
    <w:rsid w:val="495F0A69"/>
    <w:rsid w:val="4C0C37CC"/>
    <w:rsid w:val="4C7C664D"/>
    <w:rsid w:val="4DAD0DB2"/>
    <w:rsid w:val="524C0322"/>
    <w:rsid w:val="52FD3933"/>
    <w:rsid w:val="555E7D70"/>
    <w:rsid w:val="59522F4C"/>
    <w:rsid w:val="62BD4703"/>
    <w:rsid w:val="66AC40AB"/>
    <w:rsid w:val="6727446C"/>
    <w:rsid w:val="67BE69DC"/>
    <w:rsid w:val="67DF08A2"/>
    <w:rsid w:val="690B01F7"/>
    <w:rsid w:val="69B15273"/>
    <w:rsid w:val="6B6F12FB"/>
    <w:rsid w:val="6E0B228D"/>
    <w:rsid w:val="6E8D183C"/>
    <w:rsid w:val="71042526"/>
    <w:rsid w:val="73EF0114"/>
    <w:rsid w:val="762E32A2"/>
    <w:rsid w:val="7F196EF6"/>
    <w:rsid w:val="AEF79397"/>
    <w:rsid w:val="BB978910"/>
    <w:rsid w:val="DF7EE9AB"/>
    <w:rsid w:val="EFEBD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semiHidden="0" w:name="index 1"/>
    <w:lsdException w:qFormat="1" w:uiPriority="99" w:semiHidden="0" w:name="index 2"/>
    <w:lsdException w:qFormat="1" w:uiPriority="99" w:semiHidden="0" w:name="index 3"/>
    <w:lsdException w:qFormat="1" w:uiPriority="99" w:semiHidden="0" w:name="index 4"/>
    <w:lsdException w:qFormat="1" w:uiPriority="99" w:semiHidden="0" w:name="index 5"/>
    <w:lsdException w:qFormat="1" w:uiPriority="99" w:semiHidden="0" w:name="index 6"/>
    <w:lsdException w:qFormat="1" w:uiPriority="99" w:semiHidden="0" w:name="index 7"/>
    <w:lsdException w:qFormat="1" w:uiPriority="99" w:semiHidden="0" w:name="index 8"/>
    <w:lsdException w:qFormat="1" w:uiPriority="99"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semiHidden="0" w:name="Normal Indent"/>
    <w:lsdException w:qFormat="1" w:unhideWhenUsed="0" w:uiPriority="0" w:name="footnote text"/>
    <w:lsdException w:qFormat="1" w:uiPriority="99" w:semiHidden="0" w:name="annotation text"/>
    <w:lsdException w:qFormat="1" w:unhideWhenUsed="0" w:uiPriority="0" w:name="header"/>
    <w:lsdException w:qFormat="1" w:unhideWhenUsed="0" w:uiPriority="0" w:name="footer"/>
    <w:lsdException w:qFormat="1" w:uiPriority="99" w:semiHidden="0" w:name="index heading"/>
    <w:lsdException w:qFormat="1" w:unhideWhenUsed="0" w:uiPriority="0" w:semiHidden="0" w:name="caption"/>
    <w:lsdException w:qFormat="1" w:unhideWhenUsed="0" w:uiPriority="0" w:name="table of figures"/>
    <w:lsdException w:qFormat="1" w:uiPriority="99" w:semiHidden="0" w:name="envelope address"/>
    <w:lsdException w:qFormat="1" w:uiPriority="99" w:semiHidden="0" w:name="envelope return"/>
    <w:lsdException w:qFormat="1" w:unhideWhenUsed="0" w:uiPriority="0" w:name="footnote reference"/>
    <w:lsdException w:qFormat="1" w:uiPriority="99" w:semiHidden="0" w:name="annotation reference"/>
    <w:lsdException w:qFormat="1" w:uiPriority="99" w:semiHidden="0" w:name="line number"/>
    <w:lsdException w:qFormat="1" w:unhideWhenUsed="0" w:uiPriority="0" w:name="page number"/>
    <w:lsdException w:qFormat="1" w:uiPriority="99" w:semiHidden="0" w:name="endnote reference"/>
    <w:lsdException w:qFormat="1" w:uiPriority="99" w:semiHidden="0" w:name="endnote text"/>
    <w:lsdException w:qFormat="1" w:uiPriority="99" w:semiHidden="0" w:name="table of authorities"/>
    <w:lsdException w:qFormat="1" w:uiPriority="99" w:semiHidden="0" w:name="macro"/>
    <w:lsdException w:qFormat="1" w:uiPriority="99" w:semiHidden="0"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qFormat="1" w:uiPriority="99" w:semiHidden="0" w:name="List 4"/>
    <w:lsdException w:qFormat="1" w:uiPriority="99" w:semiHidden="0" w:name="List 5"/>
    <w:lsdException w:qFormat="1" w:uiPriority="99" w:semiHidden="0" w:name="List Bullet 2"/>
    <w:lsdException w:qFormat="1" w:uiPriority="99" w:semiHidden="0" w:name="List Bullet 3"/>
    <w:lsdException w:qFormat="1" w:uiPriority="99" w:semiHidden="0" w:name="List Bullet 4"/>
    <w:lsdException w:qFormat="1" w:uiPriority="99" w:semiHidden="0" w:name="List Bullet 5"/>
    <w:lsdException w:qFormat="1" w:uiPriority="99" w:semiHidden="0" w:name="List Number 2"/>
    <w:lsdException w:qFormat="1" w:uiPriority="99" w:semiHidden="0" w:name="List Number 3"/>
    <w:lsdException w:qFormat="1" w:uiPriority="99" w:semiHidden="0" w:name="List Number 4"/>
    <w:lsdException w:qFormat="1" w:uiPriority="99" w:semiHidden="0" w:name="List Number 5"/>
    <w:lsdException w:qFormat="1" w:unhideWhenUsed="0" w:uiPriority="0" w:semiHidden="0" w:name="Title"/>
    <w:lsdException w:qFormat="1" w:uiPriority="99" w:semiHidden="0" w:name="Closing"/>
    <w:lsdException w:qFormat="1" w:uiPriority="99" w:semiHidden="0" w:name="Signature"/>
    <w:lsdException w:qFormat="1" w:uiPriority="1" w:semiHidden="0"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qFormat="1" w:uiPriority="99" w:semiHidden="0" w:name="List Continue 4"/>
    <w:lsdException w:qFormat="1" w:uiPriority="99" w:semiHidden="0" w:name="List Continue 5"/>
    <w:lsdException w:qFormat="1" w:uiPriority="99" w:semiHidden="0" w:name="Message Header"/>
    <w:lsdException w:qFormat="1" w:unhideWhenUsed="0" w:uiPriority="11" w:semiHidden="0" w:name="Subtitle"/>
    <w:lsdException w:qFormat="1" w:uiPriority="99" w:semiHidden="0" w:name="Salutation"/>
    <w:lsdException w:qFormat="1" w:uiPriority="99" w:semiHidden="0" w:name="Date"/>
    <w:lsdException w:qFormat="1" w:uiPriority="99" w:semiHidden="0" w:name="Body Text First Indent"/>
    <w:lsdException w:qFormat="1" w:uiPriority="99" w:semiHidden="0" w:name="Body Text First Indent 2"/>
    <w:lsdException w:qFormat="1" w:uiPriority="99" w:semiHidden="0" w:name="Note Heading"/>
    <w:lsdException w:qFormat="1" w:uiPriority="99" w:semiHidden="0" w:name="Body Text 2"/>
    <w:lsdException w:qFormat="1" w:uiPriority="99" w:semiHidden="0" w:name="Body Text 3"/>
    <w:lsdException w:qFormat="1" w:uiPriority="99" w:semiHidden="0" w:name="Body Text Indent 2"/>
    <w:lsdException w:qFormat="1" w:uiPriority="99" w:semiHidden="0" w:name="Body Text Indent 3"/>
    <w:lsdException w:qFormat="1" w:uiPriority="99" w:semiHidden="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iPriority="99" w:semiHidden="0" w:name="Plain Text"/>
    <w:lsdException w:qFormat="1" w:uiPriority="99" w:semiHidden="0" w:name="E-mail Signature"/>
    <w:lsdException w:qFormat="1" w:uiPriority="99" w:semiHidden="0"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semiHidden="0" w:name="Normal Table"/>
    <w:lsdException w:qFormat="1" w:uiPriority="99" w:semiHidden="0" w:name="annotation subject"/>
    <w:lsdException w:qFormat="1" w:uiPriority="99" w:semiHidden="0" w:name="Table Simple 1"/>
    <w:lsdException w:qFormat="1" w:uiPriority="99" w:semiHidden="0" w:name="Table Simple 2"/>
    <w:lsdException w:qFormat="1" w:uiPriority="99" w:semiHidden="0" w:name="Table Simple 3"/>
    <w:lsdException w:qFormat="1" w:uiPriority="99" w:semiHidden="0" w:name="Table Classic 1"/>
    <w:lsdException w:qFormat="1" w:uiPriority="99" w:semiHidden="0" w:name="Table Classic 2"/>
    <w:lsdException w:qFormat="1" w:uiPriority="99" w:semiHidden="0" w:name="Table Classic 3"/>
    <w:lsdException w:qFormat="1" w:uiPriority="99" w:semiHidden="0" w:name="Table Classic 4"/>
    <w:lsdException w:qFormat="1" w:uiPriority="99" w:semiHidden="0" w:name="Table Colorful 1"/>
    <w:lsdException w:qFormat="1" w:uiPriority="99" w:semiHidden="0" w:name="Table Colorful 2"/>
    <w:lsdException w:qFormat="1" w:uiPriority="99" w:semiHidden="0" w:name="Table Colorful 3"/>
    <w:lsdException w:qFormat="1" w:uiPriority="99" w:semiHidden="0" w:name="Table Columns 1"/>
    <w:lsdException w:qFormat="1" w:uiPriority="99" w:semiHidden="0" w:name="Table Columns 2"/>
    <w:lsdException w:qFormat="1" w:uiPriority="99" w:semiHidden="0" w:name="Table Columns 3"/>
    <w:lsdException w:qFormat="1" w:uiPriority="99" w:semiHidden="0" w:name="Table Columns 4"/>
    <w:lsdException w:qFormat="1" w:uiPriority="99" w:semiHidden="0" w:name="Table Columns 5"/>
    <w:lsdException w:qFormat="1" w:uiPriority="99" w:semiHidden="0" w:name="Table Grid 1"/>
    <w:lsdException w:qFormat="1" w:uiPriority="99" w:semiHidden="0" w:name="Table Grid 2"/>
    <w:lsdException w:qFormat="1" w:uiPriority="99" w:semiHidden="0" w:name="Table Grid 3"/>
    <w:lsdException w:qFormat="1" w:uiPriority="99" w:semiHidden="0" w:name="Table Grid 4"/>
    <w:lsdException w:qFormat="1" w:uiPriority="99" w:semiHidden="0" w:name="Table Grid 5"/>
    <w:lsdException w:qFormat="1" w:uiPriority="99" w:semiHidden="0" w:name="Table Grid 6"/>
    <w:lsdException w:qFormat="1" w:uiPriority="99" w:semiHidden="0" w:name="Table Grid 7"/>
    <w:lsdException w:qFormat="1" w:uiPriority="99" w:semiHidden="0" w:name="Table Grid 8"/>
    <w:lsdException w:qFormat="1" w:uiPriority="99" w:semiHidden="0" w:name="Table List 1"/>
    <w:lsdException w:qFormat="1" w:uiPriority="99" w:semiHidden="0" w:name="Table List 2"/>
    <w:lsdException w:qFormat="1" w:uiPriority="99" w:semiHidden="0" w:name="Table List 3"/>
    <w:lsdException w:qFormat="1" w:uiPriority="99" w:semiHidden="0" w:name="Table List 4"/>
    <w:lsdException w:qFormat="1" w:uiPriority="99" w:semiHidden="0" w:name="Table List 5"/>
    <w:lsdException w:qFormat="1" w:uiPriority="99" w:semiHidden="0" w:name="Table List 6"/>
    <w:lsdException w:qFormat="1" w:uiPriority="99" w:semiHidden="0" w:name="Table List 7"/>
    <w:lsdException w:qFormat="1" w:uiPriority="99" w:semiHidden="0" w:name="Table List 8"/>
    <w:lsdException w:qFormat="1" w:uiPriority="99" w:semiHidden="0" w:name="Table 3D effects 1"/>
    <w:lsdException w:qFormat="1" w:uiPriority="99" w:semiHidden="0" w:name="Table 3D effects 2"/>
    <w:lsdException w:qFormat="1" w:uiPriority="99" w:semiHidden="0" w:name="Table 3D effects 3"/>
    <w:lsdException w:qFormat="1" w:uiPriority="99" w:semiHidden="0" w:name="Table Contemporary"/>
    <w:lsdException w:qFormat="1" w:uiPriority="99" w:semiHidden="0" w:name="Table Elegant"/>
    <w:lsdException w:qFormat="1" w:uiPriority="99" w:semiHidden="0" w:name="Table Professional"/>
    <w:lsdException w:qFormat="1" w:uiPriority="99" w:semiHidden="0" w:name="Table Subtle 1"/>
    <w:lsdException w:qFormat="1" w:uiPriority="99" w:semiHidden="0" w:name="Table Subtle 2"/>
    <w:lsdException w:qFormat="1" w:uiPriority="99" w:semiHidden="0" w:name="Table Web 1"/>
    <w:lsdException w:qFormat="1" w:uiPriority="99" w:semiHidden="0" w:name="Table Web 2"/>
    <w:lsdException w:qFormat="1" w:uiPriority="99" w:semiHidden="0" w:name="Table Web 3"/>
    <w:lsdException w:qFormat="1" w:uiPriority="99" w:semiHidden="0" w:name="Balloon Text"/>
    <w:lsdException w:qFormat="1" w:unhideWhenUsed="0" w:uiPriority="59" w:semiHidden="0" w:name="Table Grid"/>
    <w:lsdException w:qFormat="1" w:uiPriority="99" w:semiHidden="0" w:name="Table Theme"/>
    <w:lsdException w:qFormat="1" w:uiPriority="60" w:semiHidden="0" w:name="Light Shading"/>
    <w:lsdException w:qFormat="1" w:uiPriority="61" w:semiHidden="0" w:name="Light List"/>
    <w:lsdException w:qFormat="1" w:uiPriority="62" w:semiHidden="0" w:name="Light Grid"/>
    <w:lsdException w:qFormat="1" w:uiPriority="63" w:semiHidden="0" w:name="Medium Shading 1"/>
    <w:lsdException w:qFormat="1" w:uiPriority="64" w:semiHidden="0" w:name="Medium Shading 2"/>
    <w:lsdException w:qFormat="1" w:uiPriority="65" w:semiHidden="0" w:name="Medium List 1"/>
    <w:lsdException w:qFormat="1" w:uiPriority="66" w:semiHidden="0" w:name="Medium List 2"/>
    <w:lsdException w:qFormat="1" w:uiPriority="67" w:semiHidden="0" w:name="Medium Grid 1"/>
    <w:lsdException w:qFormat="1" w:uiPriority="68" w:semiHidden="0" w:name="Medium Grid 2"/>
    <w:lsdException w:qFormat="1" w:uiPriority="69" w:semiHidden="0" w:name="Medium Grid 3"/>
    <w:lsdException w:qFormat="1" w:uiPriority="70" w:semiHidden="0" w:name="Dark List"/>
    <w:lsdException w:qFormat="1" w:uiPriority="71" w:semiHidden="0" w:name="Colorful Shading"/>
    <w:lsdException w:qFormat="1" w:uiPriority="72" w:semiHidden="0" w:name="Colorful List"/>
    <w:lsdException w:qFormat="1" w:uiPriority="73" w:semiHidden="0" w:name="Colorful Grid"/>
    <w:lsdException w:qFormat="1" w:uiPriority="60" w:semiHidden="0" w:name="Light Shading Accent 1"/>
    <w:lsdException w:qFormat="1" w:uiPriority="61" w:semiHidden="0" w:name="Light List Accent 1"/>
    <w:lsdException w:qFormat="1" w:uiPriority="62" w:semiHidden="0" w:name="Light Grid Accent 1"/>
    <w:lsdException w:qFormat="1" w:uiPriority="63" w:semiHidden="0" w:name="Medium Shading 1 Accent 1"/>
    <w:lsdException w:qFormat="1" w:uiPriority="64" w:semiHidden="0" w:name="Medium Shading 2 Accent 1"/>
    <w:lsdException w:qFormat="1" w:uiPriority="65" w:semiHidden="0" w:name="Medium List 1 Accent 1"/>
    <w:lsdException w:qFormat="1" w:uiPriority="66" w:semiHidden="0" w:name="Medium List 2 Accent 1"/>
    <w:lsdException w:qFormat="1" w:uiPriority="67" w:semiHidden="0" w:name="Medium Grid 1 Accent 1"/>
    <w:lsdException w:qFormat="1" w:uiPriority="68" w:semiHidden="0" w:name="Medium Grid 2 Accent 1"/>
    <w:lsdException w:qFormat="1" w:uiPriority="69" w:semiHidden="0" w:name="Medium Grid 3 Accent 1"/>
    <w:lsdException w:qFormat="1" w:uiPriority="70" w:semiHidden="0" w:name="Dark List Accent 1"/>
    <w:lsdException w:qFormat="1" w:uiPriority="71" w:semiHidden="0" w:name="Colorful Shading Accent 1"/>
    <w:lsdException w:qFormat="1" w:uiPriority="72" w:semiHidden="0" w:name="Colorful List Accent 1"/>
    <w:lsdException w:qFormat="1" w:uiPriority="73" w:semiHidden="0" w:name="Colorful Grid Accent 1"/>
    <w:lsdException w:qFormat="1" w:uiPriority="60" w:semiHidden="0" w:name="Light Shading Accent 2"/>
    <w:lsdException w:qFormat="1" w:uiPriority="61" w:semiHidden="0" w:name="Light List Accent 2"/>
    <w:lsdException w:qFormat="1" w:uiPriority="62" w:semiHidden="0" w:name="Light Grid Accent 2"/>
    <w:lsdException w:qFormat="1" w:uiPriority="63" w:semiHidden="0" w:name="Medium Shading 1 Accent 2"/>
    <w:lsdException w:qFormat="1" w:uiPriority="64" w:semiHidden="0" w:name="Medium Shading 2 Accent 2"/>
    <w:lsdException w:qFormat="1" w:uiPriority="65" w:semiHidden="0" w:name="Medium List 1 Accent 2"/>
    <w:lsdException w:qFormat="1" w:uiPriority="66" w:semiHidden="0" w:name="Medium List 2 Accent 2"/>
    <w:lsdException w:qFormat="1" w:uiPriority="67" w:semiHidden="0" w:name="Medium Grid 1 Accent 2"/>
    <w:lsdException w:qFormat="1" w:uiPriority="68" w:semiHidden="0" w:name="Medium Grid 2 Accent 2"/>
    <w:lsdException w:qFormat="1" w:uiPriority="69" w:semiHidden="0" w:name="Medium Grid 3 Accent 2"/>
    <w:lsdException w:qFormat="1" w:uiPriority="70" w:semiHidden="0" w:name="Dark List Accent 2"/>
    <w:lsdException w:qFormat="1" w:uiPriority="71" w:semiHidden="0" w:name="Colorful Shading Accent 2"/>
    <w:lsdException w:qFormat="1" w:uiPriority="72" w:semiHidden="0" w:name="Colorful List Accent 2"/>
    <w:lsdException w:qFormat="1" w:uiPriority="73" w:semiHidden="0" w:name="Colorful Grid Accent 2"/>
    <w:lsdException w:qFormat="1" w:uiPriority="60" w:semiHidden="0" w:name="Light Shading Accent 3"/>
    <w:lsdException w:qFormat="1" w:uiPriority="61" w:semiHidden="0" w:name="Light List Accent 3"/>
    <w:lsdException w:qFormat="1" w:uiPriority="62" w:semiHidden="0" w:name="Light Grid Accent 3"/>
    <w:lsdException w:qFormat="1" w:uiPriority="63" w:semiHidden="0" w:name="Medium Shading 1 Accent 3"/>
    <w:lsdException w:qFormat="1" w:uiPriority="64" w:semiHidden="0" w:name="Medium Shading 2 Accent 3"/>
    <w:lsdException w:qFormat="1" w:uiPriority="65" w:semiHidden="0" w:name="Medium List 1 Accent 3"/>
    <w:lsdException w:qFormat="1" w:uiPriority="66" w:semiHidden="0" w:name="Medium List 2 Accent 3"/>
    <w:lsdException w:qFormat="1" w:uiPriority="67" w:semiHidden="0" w:name="Medium Grid 1 Accent 3"/>
    <w:lsdException w:qFormat="1" w:uiPriority="68" w:semiHidden="0" w:name="Medium Grid 2 Accent 3"/>
    <w:lsdException w:qFormat="1" w:uiPriority="69" w:semiHidden="0" w:name="Medium Grid 3 Accent 3"/>
    <w:lsdException w:qFormat="1" w:uiPriority="70" w:semiHidden="0" w:name="Dark List Accent 3"/>
    <w:lsdException w:qFormat="1" w:uiPriority="71" w:semiHidden="0" w:name="Colorful Shading Accent 3"/>
    <w:lsdException w:qFormat="1" w:uiPriority="72" w:semiHidden="0" w:name="Colorful List Accent 3"/>
    <w:lsdException w:qFormat="1" w:uiPriority="73" w:semiHidden="0" w:name="Colorful Grid Accent 3"/>
    <w:lsdException w:qFormat="1" w:uiPriority="60" w:semiHidden="0" w:name="Light Shading Accent 4"/>
    <w:lsdException w:qFormat="1" w:uiPriority="61" w:semiHidden="0" w:name="Light List Accent 4"/>
    <w:lsdException w:qFormat="1" w:uiPriority="62" w:semiHidden="0" w:name="Light Grid Accent 4"/>
    <w:lsdException w:qFormat="1" w:uiPriority="63" w:semiHidden="0" w:name="Medium Shading 1 Accent 4"/>
    <w:lsdException w:qFormat="1" w:uiPriority="64" w:semiHidden="0" w:name="Medium Shading 2 Accent 4"/>
    <w:lsdException w:qFormat="1" w:uiPriority="65" w:semiHidden="0" w:name="Medium List 1 Accent 4"/>
    <w:lsdException w:qFormat="1" w:uiPriority="66" w:semiHidden="0" w:name="Medium List 2 Accent 4"/>
    <w:lsdException w:qFormat="1" w:uiPriority="67" w:semiHidden="0" w:name="Medium Grid 1 Accent 4"/>
    <w:lsdException w:qFormat="1" w:uiPriority="68" w:semiHidden="0" w:name="Medium Grid 2 Accent 4"/>
    <w:lsdException w:qFormat="1" w:uiPriority="69" w:semiHidden="0" w:name="Medium Grid 3 Accent 4"/>
    <w:lsdException w:qFormat="1" w:uiPriority="70" w:semiHidden="0" w:name="Dark List Accent 4"/>
    <w:lsdException w:qFormat="1" w:uiPriority="71" w:semiHidden="0" w:name="Colorful Shading Accent 4"/>
    <w:lsdException w:qFormat="1" w:uiPriority="72" w:semiHidden="0" w:name="Colorful List Accent 4"/>
    <w:lsdException w:qFormat="1" w:uiPriority="73" w:semiHidden="0" w:name="Colorful Grid Accent 4"/>
    <w:lsdException w:qFormat="1" w:uiPriority="60" w:semiHidden="0" w:name="Light Shading Accent 5"/>
    <w:lsdException w:qFormat="1" w:uiPriority="61" w:semiHidden="0" w:name="Light List Accent 5"/>
    <w:lsdException w:qFormat="1" w:uiPriority="62" w:semiHidden="0" w:name="Light Grid Accent 5"/>
    <w:lsdException w:qFormat="1" w:uiPriority="63" w:semiHidden="0" w:name="Medium Shading 1 Accent 5"/>
    <w:lsdException w:qFormat="1" w:uiPriority="64" w:semiHidden="0" w:name="Medium Shading 2 Accent 5"/>
    <w:lsdException w:qFormat="1" w:uiPriority="65" w:semiHidden="0" w:name="Medium List 1 Accent 5"/>
    <w:lsdException w:qFormat="1" w:uiPriority="66" w:semiHidden="0" w:name="Medium List 2 Accent 5"/>
    <w:lsdException w:qFormat="1" w:uiPriority="67" w:semiHidden="0" w:name="Medium Grid 1 Accent 5"/>
    <w:lsdException w:qFormat="1" w:uiPriority="68" w:semiHidden="0" w:name="Medium Grid 2 Accent 5"/>
    <w:lsdException w:qFormat="1" w:uiPriority="69" w:semiHidden="0" w:name="Medium Grid 3 Accent 5"/>
    <w:lsdException w:qFormat="1" w:uiPriority="70" w:semiHidden="0" w:name="Dark List Accent 5"/>
    <w:lsdException w:qFormat="1" w:uiPriority="71" w:semiHidden="0" w:name="Colorful Shading Accent 5"/>
    <w:lsdException w:qFormat="1" w:uiPriority="72" w:semiHidden="0" w:name="Colorful List Accent 5"/>
    <w:lsdException w:qFormat="1" w:uiPriority="73" w:semiHidden="0" w:name="Colorful Grid Accent 5"/>
    <w:lsdException w:qFormat="1" w:uiPriority="60" w:semiHidden="0" w:name="Light Shading Accent 6"/>
    <w:lsdException w:qFormat="1" w:uiPriority="61" w:semiHidden="0" w:name="Light List Accent 6"/>
    <w:lsdException w:qFormat="1" w:uiPriority="62" w:semiHidden="0" w:name="Light Grid Accent 6"/>
    <w:lsdException w:qFormat="1" w:uiPriority="63" w:semiHidden="0" w:name="Medium Shading 1 Accent 6"/>
    <w:lsdException w:qFormat="1" w:uiPriority="64" w:semiHidden="0" w:name="Medium Shading 2 Accent 6"/>
    <w:lsdException w:qFormat="1" w:uiPriority="65" w:semiHidden="0" w:name="Medium List 1 Accent 6"/>
    <w:lsdException w:qFormat="1" w:uiPriority="66" w:semiHidden="0" w:name="Medium List 2 Accent 6"/>
    <w:lsdException w:qFormat="1" w:uiPriority="67" w:semiHidden="0" w:name="Medium Grid 1 Accent 6"/>
    <w:lsdException w:qFormat="1" w:uiPriority="68" w:semiHidden="0" w:name="Medium Grid 2 Accent 6"/>
    <w:lsdException w:qFormat="1" w:uiPriority="69" w:semiHidden="0" w:name="Medium Grid 3 Accent 6"/>
    <w:lsdException w:qFormat="1" w:uiPriority="70" w:semiHidden="0" w:name="Dark List Accent 6"/>
    <w:lsdException w:qFormat="1" w:uiPriority="71" w:semiHidden="0" w:name="Colorful Shading Accent 6"/>
    <w:lsdException w:qFormat="1" w:uiPriority="72" w:semiHidden="0" w:name="Colorful List Accent 6"/>
    <w:lsdException w:qFormat="1"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unhideWhenUsed/>
    <w:qFormat/>
    <w:uiPriority w:val="1"/>
  </w:style>
  <w:style w:type="table" w:default="1" w:styleId="88">
    <w:name w:val="Normal Table"/>
    <w:unhideWhenUsed/>
    <w:qFormat/>
    <w:uiPriority w:val="99"/>
    <w:tblPr>
      <w:tblCellMar>
        <w:top w:w="0" w:type="dxa"/>
        <w:left w:w="108" w:type="dxa"/>
        <w:bottom w:w="0" w:type="dxa"/>
        <w:right w:w="108" w:type="dxa"/>
      </w:tblCellMar>
    </w:tblPr>
  </w:style>
  <w:style w:type="paragraph" w:styleId="3">
    <w:name w:val="macro"/>
    <w:link w:val="358"/>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unhideWhenUsed/>
    <w:qFormat/>
    <w:uiPriority w:val="99"/>
    <w:pPr>
      <w:ind w:left="100" w:leftChars="400" w:hanging="200" w:hangingChars="200"/>
      <w:contextualSpacing/>
    </w:pPr>
  </w:style>
  <w:style w:type="paragraph" w:styleId="13">
    <w:name w:val="toc 7"/>
    <w:basedOn w:val="14"/>
    <w:next w:val="1"/>
    <w:semiHidden/>
    <w:qFormat/>
    <w:uiPriority w:val="0"/>
    <w:pPr>
      <w:ind w:left="500" w:leftChars="500"/>
    </w:pPr>
  </w:style>
  <w:style w:type="paragraph" w:styleId="14">
    <w:name w:val="toc 6"/>
    <w:basedOn w:val="15"/>
    <w:next w:val="1"/>
    <w:semiHidden/>
    <w:qFormat/>
    <w:uiPriority w:val="0"/>
    <w:pPr>
      <w:ind w:left="400" w:leftChars="400"/>
    </w:pPr>
  </w:style>
  <w:style w:type="paragraph" w:styleId="15">
    <w:name w:val="toc 5"/>
    <w:basedOn w:val="16"/>
    <w:next w:val="1"/>
    <w:semiHidden/>
    <w:qFormat/>
    <w:uiPriority w:val="0"/>
    <w:pPr>
      <w:ind w:left="300" w:leftChars="300"/>
    </w:pPr>
  </w:style>
  <w:style w:type="paragraph" w:styleId="16">
    <w:name w:val="toc 4"/>
    <w:basedOn w:val="17"/>
    <w:next w:val="1"/>
    <w:qFormat/>
    <w:uiPriority w:val="39"/>
    <w:pPr>
      <w:ind w:left="200" w:leftChars="200"/>
    </w:pPr>
  </w:style>
  <w:style w:type="paragraph" w:styleId="17">
    <w:name w:val="toc 3"/>
    <w:basedOn w:val="18"/>
    <w:next w:val="1"/>
    <w:qFormat/>
    <w:uiPriority w:val="39"/>
    <w:pPr>
      <w:ind w:left="100" w:leftChars="100"/>
    </w:pPr>
  </w:style>
  <w:style w:type="paragraph" w:styleId="18">
    <w:name w:val="toc 2"/>
    <w:basedOn w:val="19"/>
    <w:next w:val="1"/>
    <w:qFormat/>
    <w:uiPriority w:val="39"/>
  </w:style>
  <w:style w:type="paragraph" w:styleId="19">
    <w:name w:val="toc 1"/>
    <w:next w:val="1"/>
    <w:qFormat/>
    <w:uiPriority w:val="39"/>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unhideWhenUsed/>
    <w:qFormat/>
    <w:uiPriority w:val="99"/>
    <w:pPr>
      <w:numPr>
        <w:ilvl w:val="0"/>
        <w:numId w:val="1"/>
      </w:numPr>
      <w:contextualSpacing/>
    </w:pPr>
  </w:style>
  <w:style w:type="paragraph" w:styleId="21">
    <w:name w:val="table of authorities"/>
    <w:basedOn w:val="1"/>
    <w:next w:val="1"/>
    <w:unhideWhenUsed/>
    <w:qFormat/>
    <w:uiPriority w:val="99"/>
    <w:pPr>
      <w:ind w:left="420" w:leftChars="200"/>
    </w:pPr>
  </w:style>
  <w:style w:type="paragraph" w:styleId="22">
    <w:name w:val="Note Heading"/>
    <w:basedOn w:val="1"/>
    <w:next w:val="1"/>
    <w:link w:val="490"/>
    <w:unhideWhenUsed/>
    <w:qFormat/>
    <w:uiPriority w:val="99"/>
    <w:pPr>
      <w:jc w:val="center"/>
    </w:pPr>
  </w:style>
  <w:style w:type="paragraph" w:styleId="23">
    <w:name w:val="List Bullet 4"/>
    <w:basedOn w:val="1"/>
    <w:unhideWhenUsed/>
    <w:qFormat/>
    <w:uiPriority w:val="99"/>
    <w:pPr>
      <w:numPr>
        <w:ilvl w:val="0"/>
        <w:numId w:val="2"/>
      </w:numPr>
      <w:contextualSpacing/>
    </w:pPr>
  </w:style>
  <w:style w:type="paragraph" w:styleId="24">
    <w:name w:val="index 8"/>
    <w:basedOn w:val="1"/>
    <w:next w:val="1"/>
    <w:unhideWhenUsed/>
    <w:qFormat/>
    <w:uiPriority w:val="99"/>
    <w:pPr>
      <w:ind w:left="1400" w:leftChars="1400"/>
    </w:pPr>
  </w:style>
  <w:style w:type="paragraph" w:styleId="25">
    <w:name w:val="E-mail Signature"/>
    <w:basedOn w:val="1"/>
    <w:link w:val="356"/>
    <w:unhideWhenUsed/>
    <w:qFormat/>
    <w:uiPriority w:val="99"/>
  </w:style>
  <w:style w:type="paragraph" w:styleId="26">
    <w:name w:val="List Number"/>
    <w:basedOn w:val="1"/>
    <w:unhideWhenUsed/>
    <w:qFormat/>
    <w:uiPriority w:val="99"/>
    <w:pPr>
      <w:numPr>
        <w:ilvl w:val="0"/>
        <w:numId w:val="3"/>
      </w:numPr>
      <w:contextualSpacing/>
    </w:pPr>
  </w:style>
  <w:style w:type="paragraph" w:styleId="27">
    <w:name w:val="Normal Indent"/>
    <w:basedOn w:val="1"/>
    <w:unhideWhenUsed/>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unhideWhenUsed/>
    <w:qFormat/>
    <w:uiPriority w:val="99"/>
    <w:pPr>
      <w:ind w:left="800" w:leftChars="800"/>
    </w:pPr>
  </w:style>
  <w:style w:type="paragraph" w:styleId="30">
    <w:name w:val="List Bullet"/>
    <w:basedOn w:val="1"/>
    <w:unhideWhenUsed/>
    <w:qFormat/>
    <w:uiPriority w:val="99"/>
    <w:pPr>
      <w:numPr>
        <w:ilvl w:val="0"/>
        <w:numId w:val="4"/>
      </w:numPr>
      <w:contextualSpacing/>
    </w:pPr>
  </w:style>
  <w:style w:type="paragraph" w:styleId="31">
    <w:name w:val="envelope address"/>
    <w:basedOn w:val="1"/>
    <w:unhideWhenUsed/>
    <w:qFormat/>
    <w:uiPriority w:val="99"/>
    <w:pPr>
      <w:framePr w:w="7920" w:h="1980" w:hRule="exact" w:hSpace="180" w:wrap="around" w:vAnchor="margin" w:hAnchor="page" w:xAlign="center" w:yAlign="bottom"/>
      <w:snapToGrid w:val="0"/>
      <w:ind w:left="100" w:leftChars="1400"/>
    </w:pPr>
    <w:rPr>
      <w:rFonts w:asciiTheme="majorHAnsi" w:hAnsiTheme="majorHAnsi" w:eastAsiaTheme="majorEastAsia" w:cstheme="majorBidi"/>
      <w:sz w:val="24"/>
    </w:rPr>
  </w:style>
  <w:style w:type="paragraph" w:styleId="32">
    <w:name w:val="Document Map"/>
    <w:basedOn w:val="1"/>
    <w:link w:val="472"/>
    <w:unhideWhenUsed/>
    <w:qFormat/>
    <w:uiPriority w:val="99"/>
    <w:rPr>
      <w:rFonts w:ascii="Microsoft YaHei UI" w:eastAsia="Microsoft YaHei UI"/>
      <w:sz w:val="18"/>
      <w:szCs w:val="18"/>
    </w:rPr>
  </w:style>
  <w:style w:type="paragraph" w:styleId="33">
    <w:name w:val="toa heading"/>
    <w:basedOn w:val="1"/>
    <w:next w:val="1"/>
    <w:unhideWhenUsed/>
    <w:qFormat/>
    <w:uiPriority w:val="99"/>
    <w:pPr>
      <w:spacing w:before="120"/>
    </w:pPr>
    <w:rPr>
      <w:rFonts w:asciiTheme="majorHAnsi" w:hAnsiTheme="majorHAnsi" w:cstheme="majorBidi"/>
      <w:sz w:val="24"/>
    </w:rPr>
  </w:style>
  <w:style w:type="paragraph" w:styleId="34">
    <w:name w:val="annotation text"/>
    <w:basedOn w:val="1"/>
    <w:link w:val="366"/>
    <w:unhideWhenUsed/>
    <w:qFormat/>
    <w:uiPriority w:val="99"/>
    <w:pPr>
      <w:jc w:val="left"/>
    </w:pPr>
  </w:style>
  <w:style w:type="paragraph" w:styleId="35">
    <w:name w:val="index 6"/>
    <w:basedOn w:val="1"/>
    <w:next w:val="1"/>
    <w:unhideWhenUsed/>
    <w:qFormat/>
    <w:uiPriority w:val="99"/>
    <w:pPr>
      <w:ind w:left="1000" w:leftChars="1000"/>
    </w:pPr>
  </w:style>
  <w:style w:type="paragraph" w:styleId="36">
    <w:name w:val="Salutation"/>
    <w:basedOn w:val="1"/>
    <w:next w:val="1"/>
    <w:link w:val="354"/>
    <w:unhideWhenUsed/>
    <w:qFormat/>
    <w:uiPriority w:val="99"/>
  </w:style>
  <w:style w:type="paragraph" w:styleId="37">
    <w:name w:val="Body Text 3"/>
    <w:basedOn w:val="1"/>
    <w:link w:val="487"/>
    <w:unhideWhenUsed/>
    <w:qFormat/>
    <w:uiPriority w:val="99"/>
    <w:pPr>
      <w:spacing w:after="120"/>
    </w:pPr>
    <w:rPr>
      <w:sz w:val="16"/>
      <w:szCs w:val="16"/>
    </w:rPr>
  </w:style>
  <w:style w:type="paragraph" w:styleId="38">
    <w:name w:val="Closing"/>
    <w:basedOn w:val="1"/>
    <w:link w:val="359"/>
    <w:unhideWhenUsed/>
    <w:qFormat/>
    <w:uiPriority w:val="99"/>
    <w:pPr>
      <w:ind w:left="100" w:leftChars="2100"/>
    </w:pPr>
  </w:style>
  <w:style w:type="paragraph" w:styleId="39">
    <w:name w:val="List Bullet 3"/>
    <w:basedOn w:val="1"/>
    <w:unhideWhenUsed/>
    <w:qFormat/>
    <w:uiPriority w:val="99"/>
    <w:pPr>
      <w:numPr>
        <w:ilvl w:val="0"/>
        <w:numId w:val="5"/>
      </w:numPr>
      <w:contextualSpacing/>
    </w:pPr>
  </w:style>
  <w:style w:type="paragraph" w:styleId="40">
    <w:name w:val="Body Text"/>
    <w:basedOn w:val="1"/>
    <w:link w:val="332"/>
    <w:unhideWhenUsed/>
    <w:qFormat/>
    <w:uiPriority w:val="99"/>
    <w:pPr>
      <w:spacing w:after="120"/>
    </w:pPr>
  </w:style>
  <w:style w:type="paragraph" w:styleId="41">
    <w:name w:val="Body Text Indent"/>
    <w:basedOn w:val="1"/>
    <w:link w:val="484"/>
    <w:unhideWhenUsed/>
    <w:qFormat/>
    <w:uiPriority w:val="99"/>
    <w:pPr>
      <w:spacing w:after="120"/>
      <w:ind w:left="420" w:leftChars="200"/>
    </w:pPr>
  </w:style>
  <w:style w:type="paragraph" w:styleId="42">
    <w:name w:val="List Number 3"/>
    <w:basedOn w:val="1"/>
    <w:unhideWhenUsed/>
    <w:qFormat/>
    <w:uiPriority w:val="99"/>
    <w:pPr>
      <w:numPr>
        <w:ilvl w:val="0"/>
        <w:numId w:val="6"/>
      </w:numPr>
      <w:contextualSpacing/>
    </w:pPr>
  </w:style>
  <w:style w:type="paragraph" w:styleId="43">
    <w:name w:val="List 2"/>
    <w:basedOn w:val="1"/>
    <w:unhideWhenUsed/>
    <w:qFormat/>
    <w:uiPriority w:val="99"/>
    <w:pPr>
      <w:ind w:left="100" w:leftChars="200" w:hanging="200" w:hangingChars="200"/>
      <w:contextualSpacing/>
    </w:pPr>
  </w:style>
  <w:style w:type="paragraph" w:styleId="44">
    <w:name w:val="List Continue"/>
    <w:basedOn w:val="1"/>
    <w:unhideWhenUsed/>
    <w:qFormat/>
    <w:uiPriority w:val="99"/>
    <w:pPr>
      <w:spacing w:after="120"/>
      <w:ind w:left="420" w:leftChars="200"/>
      <w:contextualSpacing/>
    </w:pPr>
  </w:style>
  <w:style w:type="paragraph" w:styleId="45">
    <w:name w:val="Block Text"/>
    <w:basedOn w:val="1"/>
    <w:unhideWhenUsed/>
    <w:qFormat/>
    <w:uiPriority w:val="99"/>
    <w:pPr>
      <w:spacing w:after="120"/>
      <w:ind w:left="1440" w:leftChars="700" w:right="1440" w:rightChars="700"/>
    </w:pPr>
  </w:style>
  <w:style w:type="paragraph" w:styleId="46">
    <w:name w:val="List Bullet 2"/>
    <w:basedOn w:val="1"/>
    <w:unhideWhenUsed/>
    <w:qFormat/>
    <w:uiPriority w:val="99"/>
    <w:pPr>
      <w:numPr>
        <w:ilvl w:val="0"/>
        <w:numId w:val="7"/>
      </w:numPr>
      <w:contextualSpacing/>
    </w:pPr>
  </w:style>
  <w:style w:type="paragraph" w:styleId="47">
    <w:name w:val="HTML Address"/>
    <w:basedOn w:val="1"/>
    <w:semiHidden/>
    <w:qFormat/>
    <w:uiPriority w:val="0"/>
    <w:rPr>
      <w:i/>
      <w:iCs/>
    </w:rPr>
  </w:style>
  <w:style w:type="paragraph" w:styleId="48">
    <w:name w:val="index 4"/>
    <w:basedOn w:val="1"/>
    <w:next w:val="1"/>
    <w:unhideWhenUsed/>
    <w:qFormat/>
    <w:uiPriority w:val="99"/>
    <w:pPr>
      <w:ind w:left="600" w:leftChars="600"/>
    </w:pPr>
  </w:style>
  <w:style w:type="paragraph" w:styleId="49">
    <w:name w:val="Plain Text"/>
    <w:basedOn w:val="1"/>
    <w:link w:val="355"/>
    <w:unhideWhenUsed/>
    <w:qFormat/>
    <w:uiPriority w:val="99"/>
    <w:rPr>
      <w:rFonts w:ascii="宋体" w:hAnsi="Courier New" w:cs="Courier New"/>
      <w:szCs w:val="21"/>
    </w:rPr>
  </w:style>
  <w:style w:type="paragraph" w:styleId="50">
    <w:name w:val="List Bullet 5"/>
    <w:basedOn w:val="1"/>
    <w:unhideWhenUsed/>
    <w:qFormat/>
    <w:uiPriority w:val="99"/>
    <w:pPr>
      <w:numPr>
        <w:ilvl w:val="0"/>
        <w:numId w:val="8"/>
      </w:numPr>
      <w:contextualSpacing/>
    </w:pPr>
  </w:style>
  <w:style w:type="paragraph" w:styleId="51">
    <w:name w:val="List Number 4"/>
    <w:basedOn w:val="1"/>
    <w:unhideWhenUsed/>
    <w:qFormat/>
    <w:uiPriority w:val="99"/>
    <w:pPr>
      <w:numPr>
        <w:ilvl w:val="0"/>
        <w:numId w:val="9"/>
      </w:numPr>
      <w:contextualSpacing/>
    </w:pPr>
  </w:style>
  <w:style w:type="paragraph" w:styleId="52">
    <w:name w:val="toc 8"/>
    <w:basedOn w:val="13"/>
    <w:next w:val="1"/>
    <w:semiHidden/>
    <w:qFormat/>
    <w:uiPriority w:val="0"/>
  </w:style>
  <w:style w:type="paragraph" w:styleId="53">
    <w:name w:val="index 3"/>
    <w:basedOn w:val="1"/>
    <w:next w:val="1"/>
    <w:unhideWhenUsed/>
    <w:qFormat/>
    <w:uiPriority w:val="99"/>
    <w:pPr>
      <w:ind w:left="400" w:leftChars="400"/>
    </w:pPr>
  </w:style>
  <w:style w:type="paragraph" w:styleId="54">
    <w:name w:val="Date"/>
    <w:basedOn w:val="1"/>
    <w:next w:val="1"/>
    <w:link w:val="418"/>
    <w:unhideWhenUsed/>
    <w:qFormat/>
    <w:uiPriority w:val="99"/>
    <w:pPr>
      <w:ind w:left="100" w:leftChars="2500"/>
    </w:pPr>
  </w:style>
  <w:style w:type="paragraph" w:styleId="55">
    <w:name w:val="Body Text Indent 2"/>
    <w:basedOn w:val="1"/>
    <w:link w:val="488"/>
    <w:unhideWhenUsed/>
    <w:qFormat/>
    <w:uiPriority w:val="99"/>
    <w:pPr>
      <w:spacing w:after="120" w:line="480" w:lineRule="auto"/>
      <w:ind w:left="420" w:leftChars="200"/>
    </w:pPr>
  </w:style>
  <w:style w:type="paragraph" w:styleId="56">
    <w:name w:val="endnote text"/>
    <w:basedOn w:val="1"/>
    <w:link w:val="471"/>
    <w:unhideWhenUsed/>
    <w:qFormat/>
    <w:uiPriority w:val="99"/>
    <w:pPr>
      <w:snapToGrid w:val="0"/>
      <w:jc w:val="left"/>
    </w:pPr>
  </w:style>
  <w:style w:type="paragraph" w:styleId="57">
    <w:name w:val="List Continue 5"/>
    <w:basedOn w:val="1"/>
    <w:unhideWhenUsed/>
    <w:qFormat/>
    <w:uiPriority w:val="99"/>
    <w:pPr>
      <w:spacing w:after="120"/>
      <w:ind w:left="2100" w:leftChars="1000"/>
      <w:contextualSpacing/>
    </w:pPr>
  </w:style>
  <w:style w:type="paragraph" w:styleId="58">
    <w:name w:val="Balloon Text"/>
    <w:basedOn w:val="1"/>
    <w:link w:val="365"/>
    <w:unhideWhenUsed/>
    <w:qFormat/>
    <w:uiPriority w:val="99"/>
    <w:rPr>
      <w:sz w:val="18"/>
      <w:szCs w:val="18"/>
    </w:rPr>
  </w:style>
  <w:style w:type="paragraph" w:styleId="59">
    <w:name w:val="footer"/>
    <w:basedOn w:val="1"/>
    <w:semiHidden/>
    <w:qFormat/>
    <w:uiPriority w:val="0"/>
    <w:pPr>
      <w:tabs>
        <w:tab w:val="center" w:pos="4153"/>
        <w:tab w:val="right" w:pos="8306"/>
      </w:tabs>
      <w:snapToGrid w:val="0"/>
      <w:ind w:right="210" w:rightChars="100"/>
      <w:jc w:val="right"/>
    </w:pPr>
    <w:rPr>
      <w:sz w:val="18"/>
      <w:szCs w:val="18"/>
    </w:rPr>
  </w:style>
  <w:style w:type="paragraph" w:styleId="60">
    <w:name w:val="envelope return"/>
    <w:basedOn w:val="1"/>
    <w:unhideWhenUsed/>
    <w:qFormat/>
    <w:uiPriority w:val="99"/>
    <w:pPr>
      <w:snapToGrid w:val="0"/>
    </w:pPr>
    <w:rPr>
      <w:rFonts w:asciiTheme="majorHAnsi" w:hAnsiTheme="majorHAnsi" w:eastAsiaTheme="majorEastAsia" w:cstheme="majorBidi"/>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68"/>
    <w:unhideWhenUsed/>
    <w:qFormat/>
    <w:uiPriority w:val="99"/>
    <w:pPr>
      <w:ind w:left="100" w:leftChars="2100"/>
    </w:pPr>
  </w:style>
  <w:style w:type="paragraph" w:styleId="63">
    <w:name w:val="List Continue 4"/>
    <w:basedOn w:val="1"/>
    <w:unhideWhenUsed/>
    <w:qFormat/>
    <w:uiPriority w:val="99"/>
    <w:pPr>
      <w:spacing w:after="120"/>
      <w:ind w:left="1680" w:leftChars="800"/>
      <w:contextualSpacing/>
    </w:pPr>
  </w:style>
  <w:style w:type="paragraph" w:styleId="64">
    <w:name w:val="index heading"/>
    <w:basedOn w:val="1"/>
    <w:next w:val="65"/>
    <w:unhideWhenUsed/>
    <w:qFormat/>
    <w:uiPriority w:val="99"/>
    <w:pPr>
      <w:spacing w:before="100" w:beforeLines="100" w:after="100" w:afterLines="100"/>
      <w:jc w:val="center"/>
    </w:pPr>
    <w:rPr>
      <w:rFonts w:eastAsia="黑体" w:asciiTheme="majorHAnsi" w:hAnsiTheme="majorHAnsi" w:cstheme="majorBidi"/>
      <w:bCs/>
    </w:rPr>
  </w:style>
  <w:style w:type="paragraph" w:styleId="65">
    <w:name w:val="index 1"/>
    <w:basedOn w:val="1"/>
    <w:next w:val="1"/>
    <w:unhideWhenUsed/>
    <w:qFormat/>
    <w:uiPriority w:val="99"/>
    <w:rPr>
      <w:rFonts w:ascii="宋体" w:hAnsi="宋体"/>
    </w:rPr>
  </w:style>
  <w:style w:type="paragraph" w:styleId="66">
    <w:name w:val="Subtitle"/>
    <w:basedOn w:val="1"/>
    <w:next w:val="1"/>
    <w:link w:val="357"/>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unhideWhenUsed/>
    <w:qFormat/>
    <w:uiPriority w:val="99"/>
    <w:pPr>
      <w:numPr>
        <w:ilvl w:val="0"/>
        <w:numId w:val="10"/>
      </w:numPr>
      <w:contextualSpacing/>
    </w:pPr>
  </w:style>
  <w:style w:type="paragraph" w:styleId="68">
    <w:name w:val="List"/>
    <w:basedOn w:val="1"/>
    <w:unhideWhenUsed/>
    <w:qFormat/>
    <w:uiPriority w:val="99"/>
    <w:pPr>
      <w:ind w:left="200" w:hanging="200" w:hangingChars="200"/>
      <w:contextualSpacing/>
    </w:pPr>
  </w:style>
  <w:style w:type="paragraph" w:styleId="69">
    <w:name w:val="footnote text"/>
    <w:basedOn w:val="1"/>
    <w:semiHidden/>
    <w:qFormat/>
    <w:uiPriority w:val="0"/>
    <w:pPr>
      <w:snapToGrid w:val="0"/>
      <w:ind w:left="400" w:leftChars="200" w:hanging="200" w:hangingChars="200"/>
      <w:jc w:val="left"/>
    </w:pPr>
    <w:rPr>
      <w:sz w:val="18"/>
      <w:szCs w:val="18"/>
    </w:rPr>
  </w:style>
  <w:style w:type="paragraph" w:styleId="70">
    <w:name w:val="List 5"/>
    <w:basedOn w:val="1"/>
    <w:unhideWhenUsed/>
    <w:qFormat/>
    <w:uiPriority w:val="99"/>
    <w:pPr>
      <w:ind w:left="100" w:leftChars="800" w:hanging="200" w:hangingChars="200"/>
      <w:contextualSpacing/>
    </w:pPr>
  </w:style>
  <w:style w:type="paragraph" w:styleId="71">
    <w:name w:val="Body Text Indent 3"/>
    <w:basedOn w:val="1"/>
    <w:link w:val="489"/>
    <w:unhideWhenUsed/>
    <w:qFormat/>
    <w:uiPriority w:val="99"/>
    <w:pPr>
      <w:spacing w:after="120"/>
      <w:ind w:left="420" w:leftChars="200"/>
    </w:pPr>
    <w:rPr>
      <w:sz w:val="16"/>
      <w:szCs w:val="16"/>
    </w:rPr>
  </w:style>
  <w:style w:type="paragraph" w:styleId="72">
    <w:name w:val="index 7"/>
    <w:basedOn w:val="1"/>
    <w:next w:val="1"/>
    <w:unhideWhenUsed/>
    <w:qFormat/>
    <w:uiPriority w:val="99"/>
    <w:pPr>
      <w:ind w:left="1200" w:leftChars="1200"/>
    </w:pPr>
  </w:style>
  <w:style w:type="paragraph" w:styleId="73">
    <w:name w:val="index 9"/>
    <w:basedOn w:val="1"/>
    <w:next w:val="1"/>
    <w:unhideWhenUsed/>
    <w:qFormat/>
    <w:uiPriority w:val="99"/>
    <w:pPr>
      <w:ind w:left="1600" w:leftChars="1600"/>
    </w:pPr>
  </w:style>
  <w:style w:type="paragraph" w:styleId="74">
    <w:name w:val="table of figures"/>
    <w:basedOn w:val="1"/>
    <w:next w:val="1"/>
    <w:semiHidden/>
    <w:qFormat/>
    <w:uiPriority w:val="0"/>
  </w:style>
  <w:style w:type="paragraph" w:styleId="75">
    <w:name w:val="toc 9"/>
    <w:basedOn w:val="52"/>
    <w:next w:val="1"/>
    <w:semiHidden/>
    <w:qFormat/>
    <w:uiPriority w:val="0"/>
  </w:style>
  <w:style w:type="paragraph" w:styleId="76">
    <w:name w:val="Body Text 2"/>
    <w:basedOn w:val="1"/>
    <w:link w:val="486"/>
    <w:unhideWhenUsed/>
    <w:qFormat/>
    <w:uiPriority w:val="99"/>
    <w:pPr>
      <w:spacing w:after="120" w:line="480" w:lineRule="auto"/>
    </w:pPr>
  </w:style>
  <w:style w:type="paragraph" w:styleId="77">
    <w:name w:val="List 4"/>
    <w:basedOn w:val="1"/>
    <w:unhideWhenUsed/>
    <w:qFormat/>
    <w:uiPriority w:val="99"/>
    <w:pPr>
      <w:ind w:left="100" w:leftChars="600" w:hanging="200" w:hangingChars="200"/>
      <w:contextualSpacing/>
    </w:pPr>
  </w:style>
  <w:style w:type="paragraph" w:styleId="78">
    <w:name w:val="List Continue 2"/>
    <w:basedOn w:val="1"/>
    <w:unhideWhenUsed/>
    <w:qFormat/>
    <w:uiPriority w:val="99"/>
    <w:pPr>
      <w:spacing w:after="120"/>
      <w:ind w:left="840" w:leftChars="400"/>
      <w:contextualSpacing/>
    </w:pPr>
  </w:style>
  <w:style w:type="paragraph" w:styleId="79">
    <w:name w:val="Message Header"/>
    <w:basedOn w:val="1"/>
    <w:link w:val="479"/>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unhideWhenUsed/>
    <w:qFormat/>
    <w:uiPriority w:val="99"/>
    <w:rPr>
      <w:sz w:val="24"/>
    </w:rPr>
  </w:style>
  <w:style w:type="paragraph" w:styleId="82">
    <w:name w:val="List Continue 3"/>
    <w:basedOn w:val="1"/>
    <w:unhideWhenUsed/>
    <w:qFormat/>
    <w:uiPriority w:val="99"/>
    <w:pPr>
      <w:spacing w:after="120"/>
      <w:ind w:left="1260" w:leftChars="600"/>
      <w:contextualSpacing/>
    </w:pPr>
  </w:style>
  <w:style w:type="paragraph" w:styleId="83">
    <w:name w:val="index 2"/>
    <w:basedOn w:val="1"/>
    <w:next w:val="1"/>
    <w:unhideWhenUsed/>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7"/>
    <w:unhideWhenUsed/>
    <w:qFormat/>
    <w:uiPriority w:val="99"/>
    <w:rPr>
      <w:b/>
      <w:bCs/>
    </w:rPr>
  </w:style>
  <w:style w:type="paragraph" w:styleId="86">
    <w:name w:val="Body Text First Indent"/>
    <w:basedOn w:val="40"/>
    <w:link w:val="483"/>
    <w:unhideWhenUsed/>
    <w:qFormat/>
    <w:uiPriority w:val="99"/>
    <w:pPr>
      <w:ind w:firstLine="420" w:firstLineChars="100"/>
    </w:pPr>
  </w:style>
  <w:style w:type="paragraph" w:styleId="87">
    <w:name w:val="Body Text First Indent 2"/>
    <w:basedOn w:val="41"/>
    <w:link w:val="485"/>
    <w:unhideWhenUsed/>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unhideWhenUsed/>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unhideWhenUsed/>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unhideWhenUsed/>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unhideWhenUsed/>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unhideWhenUsed/>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unhideWhenUsed/>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unhideWhenUsed/>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unhideWhenUsed/>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unhideWhenUsed/>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unhideWhenUsed/>
    <w:qFormat/>
    <w:uiPriority w:val="60"/>
    <w:rPr>
      <w:color w:val="2E75B6" w:themeColor="accent1" w:themeShade="BF"/>
    </w:rPr>
    <w:tblPr>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unhideWhenUsed/>
    <w:qFormat/>
    <w:uiPriority w:val="60"/>
    <w:rPr>
      <w:color w:val="C55A11" w:themeColor="accent2" w:themeShade="BF"/>
    </w:rPr>
    <w:tblPr>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unhideWhenUsed/>
    <w:qFormat/>
    <w:uiPriority w:val="60"/>
    <w:rPr>
      <w:color w:val="7C7C7C" w:themeColor="accent3" w:themeShade="BF"/>
    </w:rPr>
    <w:tblPr>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unhideWhenUsed/>
    <w:qFormat/>
    <w:uiPriority w:val="60"/>
    <w:rPr>
      <w:color w:val="BF9000" w:themeColor="accent4" w:themeShade="BF"/>
    </w:rPr>
    <w:tblPr>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unhideWhenUsed/>
    <w:qFormat/>
    <w:uiPriority w:val="60"/>
    <w:rPr>
      <w:color w:val="2F5597" w:themeColor="accent5" w:themeShade="BF"/>
    </w:rPr>
    <w:tblPr>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unhideWhenUsed/>
    <w:qFormat/>
    <w:uiPriority w:val="60"/>
    <w:rPr>
      <w:color w:val="548235" w:themeColor="accent6" w:themeShade="BF"/>
    </w:rPr>
    <w:tblPr>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unhideWhenUsed/>
    <w:qFormat/>
    <w:uiPriority w:val="70"/>
    <w:rPr>
      <w:color w:val="FFFFFF" w:themeColor="background1"/>
      <w14:textFill>
        <w14:solidFill>
          <w14:schemeClr w14:val="bg1"/>
        </w14:solidFill>
      </w14:textFill>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unhideWhenUsed/>
    <w:qFormat/>
    <w:uiPriority w:val="70"/>
    <w:rPr>
      <w:color w:val="FFFFFF" w:themeColor="background1"/>
      <w14:textFill>
        <w14:solidFill>
          <w14:schemeClr w14:val="bg1"/>
        </w14:solidFill>
      </w14:textFill>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unhideWhenUsed/>
    <w:qFormat/>
    <w:uiPriority w:val="70"/>
    <w:rPr>
      <w:color w:val="FFFFFF" w:themeColor="background1"/>
      <w14:textFill>
        <w14:solidFill>
          <w14:schemeClr w14:val="bg1"/>
        </w14:solidFill>
      </w14:textFill>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unhideWhenUsed/>
    <w:qFormat/>
    <w:uiPriority w:val="70"/>
    <w:rPr>
      <w:color w:val="FFFFFF" w:themeColor="background1"/>
      <w14:textFill>
        <w14:solidFill>
          <w14:schemeClr w14:val="bg1"/>
        </w14:solidFill>
      </w14:textFill>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unhideWhenUsed/>
    <w:qFormat/>
    <w:uiPriority w:val="70"/>
    <w:rPr>
      <w:color w:val="FFFFFF" w:themeColor="background1"/>
      <w14:textFill>
        <w14:solidFill>
          <w14:schemeClr w14:val="bg1"/>
        </w14:solidFill>
      </w14:textFill>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unhideWhenUsed/>
    <w:qFormat/>
    <w:uiPriority w:val="70"/>
    <w:rPr>
      <w:color w:val="FFFFFF" w:themeColor="background1"/>
      <w14:textFill>
        <w14:solidFill>
          <w14:schemeClr w14:val="bg1"/>
        </w14:solidFill>
      </w14:textFill>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unhideWhenUsed/>
    <w:qFormat/>
    <w:uiPriority w:val="72"/>
    <w:rPr>
      <w:color w:val="000000" w:themeColor="text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unhideWhenUsed/>
    <w:qFormat/>
    <w:uiPriority w:val="72"/>
    <w:rPr>
      <w:color w:val="000000" w:themeColor="text1"/>
      <w14:textFill>
        <w14:solidFill>
          <w14:schemeClr w14:val="tx1"/>
        </w14:solidFill>
      </w14:textFill>
    </w:rPr>
    <w:tblPr>
      <w:tblStyleRowBandSize w:val="1"/>
      <w:tblStyleColBandSize w:val="1"/>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unhideWhenUsed/>
    <w:qFormat/>
    <w:uiPriority w:val="72"/>
    <w:rPr>
      <w:color w:val="000000" w:themeColor="text1"/>
      <w14:textFill>
        <w14:solidFill>
          <w14:schemeClr w14:val="tx1"/>
        </w14:solidFill>
      </w14:textFill>
    </w:rPr>
    <w:tblPr>
      <w:tblStyleRowBandSize w:val="1"/>
      <w:tblStyleColBandSize w:val="1"/>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unhideWhenUsed/>
    <w:qFormat/>
    <w:uiPriority w:val="72"/>
    <w:rPr>
      <w:color w:val="000000" w:themeColor="text1"/>
      <w14:textFill>
        <w14:solidFill>
          <w14:schemeClr w14:val="tx1"/>
        </w14:solidFill>
      </w14:textFill>
    </w:rPr>
    <w:tblPr>
      <w:tblStyleRowBandSize w:val="1"/>
      <w:tblStyleColBandSize w:val="1"/>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unhideWhenUsed/>
    <w:qFormat/>
    <w:uiPriority w:val="72"/>
    <w:rPr>
      <w:color w:val="000000" w:themeColor="text1"/>
      <w14:textFill>
        <w14:solidFill>
          <w14:schemeClr w14:val="tx1"/>
        </w14:solidFill>
      </w14:textFill>
    </w:rPr>
    <w:tblPr>
      <w:tblStyleRowBandSize w:val="1"/>
      <w:tblStyleColBandSize w:val="1"/>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unhideWhenUsed/>
    <w:qFormat/>
    <w:uiPriority w:val="72"/>
    <w:rPr>
      <w:color w:val="000000" w:themeColor="text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unhideWhenUsed/>
    <w:qFormat/>
    <w:uiPriority w:val="99"/>
    <w:rPr>
      <w:color w:val="954F72"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outlineLvl w:val="9"/>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13"/>
      </w:numPr>
      <w:tabs>
        <w:tab w:val="left" w:pos="0"/>
      </w:tabs>
      <w:spacing w:before="50" w:beforeLines="50" w:after="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outlineLvl w:val="2"/>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outlineLvl w:val="9"/>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spacing w:before="50" w:beforeLines="50" w:after="50" w:afterLines="50"/>
      <w:textAlignment w:val="baseline"/>
    </w:pPr>
    <w:rPr>
      <w:rFonts w:ascii="黑体" w:eastAsia="黑体"/>
      <w:kern w:val="21"/>
      <w:szCs w:val="20"/>
    </w:rPr>
  </w:style>
  <w:style w:type="paragraph" w:customStyle="1" w:styleId="279">
    <w:name w:val="附录三级条标题"/>
    <w:basedOn w:val="278"/>
    <w:next w:val="258"/>
    <w:qFormat/>
    <w:uiPriority w:val="0"/>
    <w:pPr>
      <w:numPr>
        <w:ilvl w:val="4"/>
      </w:numPr>
    </w:pPr>
  </w:style>
  <w:style w:type="paragraph" w:customStyle="1" w:styleId="280">
    <w:name w:val="附录四级条标题"/>
    <w:basedOn w:val="279"/>
    <w:next w:val="258"/>
    <w:qFormat/>
    <w:uiPriority w:val="0"/>
    <w:pPr>
      <w:numPr>
        <w:ilvl w:val="5"/>
      </w:numPr>
    </w:pPr>
  </w:style>
  <w:style w:type="paragraph" w:customStyle="1" w:styleId="281">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tabs>
        <w:tab w:val="left" w:pos="840"/>
      </w:tabs>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pPr>
  </w:style>
  <w:style w:type="paragraph" w:customStyle="1" w:styleId="296">
    <w:name w:val="条文脚注"/>
    <w:basedOn w:val="69"/>
    <w:link w:val="331"/>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示例×："/>
    <w:basedOn w:val="1"/>
    <w:next w:val="293"/>
    <w:qFormat/>
    <w:uiPriority w:val="0"/>
    <w:pPr>
      <w:widowControl/>
      <w:numPr>
        <w:ilvl w:val="0"/>
        <w:numId w:val="23"/>
      </w:numPr>
    </w:pPr>
    <w:rPr>
      <w:rFonts w:ascii="宋体"/>
      <w:kern w:val="0"/>
      <w:sz w:val="18"/>
      <w:szCs w:val="18"/>
    </w:rPr>
  </w:style>
  <w:style w:type="paragraph" w:customStyle="1" w:styleId="307">
    <w:name w:val="工程建设章标题"/>
    <w:next w:val="258"/>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8">
    <w:name w:val="工程建设节标题"/>
    <w:basedOn w:val="307"/>
    <w:next w:val="258"/>
    <w:qFormat/>
    <w:uiPriority w:val="0"/>
    <w:pPr>
      <w:numPr>
        <w:ilvl w:val="2"/>
      </w:numPr>
      <w:spacing w:before="400" w:after="400" w:line="240" w:lineRule="auto"/>
      <w:outlineLvl w:val="2"/>
    </w:pPr>
    <w:rPr>
      <w:sz w:val="21"/>
    </w:rPr>
  </w:style>
  <w:style w:type="paragraph" w:customStyle="1" w:styleId="309">
    <w:name w:val="工程建设条标题"/>
    <w:basedOn w:val="308"/>
    <w:next w:val="258"/>
    <w:qFormat/>
    <w:uiPriority w:val="0"/>
    <w:pPr>
      <w:numPr>
        <w:ilvl w:val="3"/>
      </w:numPr>
      <w:spacing w:before="0" w:after="0"/>
      <w:jc w:val="left"/>
      <w:outlineLvl w:val="3"/>
    </w:pPr>
    <w:rPr>
      <w:b w:val="0"/>
    </w:rPr>
  </w:style>
  <w:style w:type="paragraph" w:customStyle="1" w:styleId="310">
    <w:name w:val="工程建设表标题"/>
    <w:basedOn w:val="309"/>
    <w:qFormat/>
    <w:uiPriority w:val="0"/>
    <w:pPr>
      <w:numPr>
        <w:ilvl w:val="4"/>
      </w:numPr>
      <w:jc w:val="center"/>
      <w:outlineLvl w:val="4"/>
    </w:pPr>
  </w:style>
  <w:style w:type="paragraph" w:customStyle="1" w:styleId="311">
    <w:name w:val="工程建设图标题"/>
    <w:basedOn w:val="309"/>
    <w:qFormat/>
    <w:uiPriority w:val="0"/>
    <w:pPr>
      <w:numPr>
        <w:ilvl w:val="5"/>
      </w:numPr>
      <w:jc w:val="center"/>
      <w:outlineLvl w:val="5"/>
    </w:pPr>
  </w:style>
  <w:style w:type="paragraph" w:customStyle="1" w:styleId="312">
    <w:name w:val="工程建设公式标题"/>
    <w:basedOn w:val="309"/>
    <w:qFormat/>
    <w:uiPriority w:val="0"/>
    <w:pPr>
      <w:numPr>
        <w:ilvl w:val="6"/>
      </w:numPr>
      <w:jc w:val="center"/>
      <w:outlineLvl w:val="6"/>
    </w:pPr>
  </w:style>
  <w:style w:type="paragraph" w:customStyle="1" w:styleId="313">
    <w:name w:val="工程建设无节条标题"/>
    <w:basedOn w:val="1"/>
    <w:next w:val="258"/>
    <w:qFormat/>
    <w:uiPriority w:val="0"/>
    <w:pPr>
      <w:numPr>
        <w:ilvl w:val="8"/>
        <w:numId w:val="24"/>
      </w:numPr>
      <w:tabs>
        <w:tab w:val="clear" w:pos="720"/>
      </w:tabs>
      <w:outlineLvl w:val="3"/>
    </w:pPr>
  </w:style>
  <w:style w:type="paragraph" w:customStyle="1" w:styleId="314">
    <w:name w:val="工程建设款标题"/>
    <w:basedOn w:val="309"/>
    <w:qFormat/>
    <w:uiPriority w:val="0"/>
    <w:pPr>
      <w:numPr>
        <w:ilvl w:val="7"/>
      </w:numPr>
      <w:outlineLvl w:val="9"/>
    </w:pPr>
  </w:style>
  <w:style w:type="paragraph" w:customStyle="1" w:styleId="315">
    <w:name w:val="名称"/>
    <w:basedOn w:val="256"/>
    <w:next w:val="258"/>
    <w:qFormat/>
    <w:uiPriority w:val="0"/>
    <w:pPr>
      <w:spacing w:line="460" w:lineRule="exact"/>
      <w:outlineLvl w:val="9"/>
    </w:pPr>
  </w:style>
  <w:style w:type="paragraph" w:customStyle="1" w:styleId="316">
    <w:name w:val="正文表标题续表"/>
    <w:basedOn w:val="301"/>
    <w:next w:val="258"/>
    <w:qFormat/>
    <w:uiPriority w:val="0"/>
    <w:pPr>
      <w:numPr>
        <w:ilvl w:val="2"/>
      </w:numPr>
    </w:pPr>
  </w:style>
  <w:style w:type="paragraph" w:customStyle="1" w:styleId="317">
    <w:name w:val="附录表标题续表"/>
    <w:basedOn w:val="275"/>
    <w:next w:val="258"/>
    <w:qFormat/>
    <w:uiPriority w:val="0"/>
    <w:pPr>
      <w:numPr>
        <w:ilvl w:val="2"/>
      </w:numPr>
    </w:pPr>
  </w:style>
  <w:style w:type="paragraph" w:customStyle="1" w:styleId="318">
    <w:name w:val="术语定义二级条标题"/>
    <w:basedOn w:val="261"/>
    <w:next w:val="258"/>
    <w:qFormat/>
    <w:uiPriority w:val="0"/>
    <w:pPr>
      <w:spacing w:before="0" w:beforeLines="0" w:after="0" w:afterLines="0"/>
    </w:pPr>
  </w:style>
  <w:style w:type="paragraph" w:customStyle="1" w:styleId="319">
    <w:name w:val="术语定义三级条标题"/>
    <w:basedOn w:val="290"/>
    <w:next w:val="258"/>
    <w:qFormat/>
    <w:uiPriority w:val="0"/>
    <w:pPr>
      <w:spacing w:before="0" w:beforeLines="0" w:after="0" w:afterLines="0"/>
    </w:pPr>
  </w:style>
  <w:style w:type="paragraph" w:customStyle="1" w:styleId="320">
    <w:name w:val="式中"/>
    <w:qFormat/>
    <w:uiPriority w:val="0"/>
    <w:pPr>
      <w:ind w:left="200" w:leftChars="200"/>
    </w:pPr>
    <w:rPr>
      <w:rFonts w:ascii="宋体" w:hAnsi="Times New Roman" w:eastAsia="宋体" w:cs="Times New Roman"/>
      <w:sz w:val="21"/>
      <w:lang w:val="en-US" w:eastAsia="zh-CN" w:bidi="ar-SA"/>
    </w:rPr>
  </w:style>
  <w:style w:type="paragraph" w:customStyle="1" w:styleId="321">
    <w:name w:val="术语定义四级条标题"/>
    <w:basedOn w:val="295"/>
    <w:next w:val="258"/>
    <w:qFormat/>
    <w:uiPriority w:val="0"/>
    <w:pPr>
      <w:spacing w:before="0" w:beforeLines="0" w:after="0" w:afterLines="0"/>
    </w:pPr>
  </w:style>
  <w:style w:type="paragraph" w:customStyle="1" w:styleId="322">
    <w:name w:val="术语定义五级条标题"/>
    <w:basedOn w:val="300"/>
    <w:next w:val="258"/>
    <w:qFormat/>
    <w:uiPriority w:val="0"/>
    <w:pPr>
      <w:spacing w:before="0" w:beforeLines="0" w:after="0" w:afterLines="0"/>
    </w:pPr>
  </w:style>
  <w:style w:type="paragraph" w:customStyle="1" w:styleId="323">
    <w:name w:val="术语定义一级条标题"/>
    <w:basedOn w:val="260"/>
    <w:next w:val="258"/>
    <w:qFormat/>
    <w:uiPriority w:val="0"/>
    <w:pPr>
      <w:spacing w:before="0" w:beforeLines="0" w:after="0" w:afterLines="0"/>
      <w:outlineLvl w:val="9"/>
    </w:pPr>
  </w:style>
  <w:style w:type="paragraph" w:customStyle="1" w:styleId="324">
    <w:name w:val="条文说明"/>
    <w:basedOn w:val="315"/>
    <w:qFormat/>
    <w:uiPriority w:val="0"/>
  </w:style>
  <w:style w:type="paragraph" w:customStyle="1" w:styleId="325">
    <w:name w:val="列项·"/>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6">
    <w:name w:val="二级无标题条"/>
    <w:basedOn w:val="261"/>
    <w:qFormat/>
    <w:uiPriority w:val="0"/>
    <w:pPr>
      <w:spacing w:before="0" w:beforeLines="0" w:after="0" w:afterLines="0"/>
    </w:pPr>
    <w:rPr>
      <w:rFonts w:asciiTheme="majorEastAsia" w:eastAsiaTheme="majorEastAsia"/>
    </w:rPr>
  </w:style>
  <w:style w:type="paragraph" w:customStyle="1" w:styleId="327">
    <w:name w:val="三级无标题条"/>
    <w:basedOn w:val="290"/>
    <w:qFormat/>
    <w:uiPriority w:val="0"/>
    <w:pPr>
      <w:spacing w:before="0" w:beforeLines="0" w:after="0" w:afterLines="0"/>
    </w:pPr>
    <w:rPr>
      <w:rFonts w:asciiTheme="majorEastAsia" w:eastAsiaTheme="majorEastAsia"/>
    </w:rPr>
  </w:style>
  <w:style w:type="paragraph" w:customStyle="1" w:styleId="328">
    <w:name w:val="四级无标题条"/>
    <w:basedOn w:val="295"/>
    <w:qFormat/>
    <w:uiPriority w:val="0"/>
    <w:pPr>
      <w:spacing w:before="0" w:beforeLines="0" w:after="0" w:afterLines="0"/>
    </w:pPr>
    <w:rPr>
      <w:rFonts w:asciiTheme="majorEastAsia" w:eastAsiaTheme="majorEastAsia"/>
    </w:rPr>
  </w:style>
  <w:style w:type="paragraph" w:customStyle="1" w:styleId="329">
    <w:name w:val="五级无标题条"/>
    <w:basedOn w:val="300"/>
    <w:qFormat/>
    <w:uiPriority w:val="0"/>
    <w:pPr>
      <w:spacing w:before="0" w:beforeLines="0" w:after="0" w:afterLines="0"/>
    </w:pPr>
    <w:rPr>
      <w:rFonts w:asciiTheme="majorEastAsia" w:eastAsiaTheme="majorEastAsia"/>
    </w:rPr>
  </w:style>
  <w:style w:type="paragraph" w:customStyle="1" w:styleId="330">
    <w:name w:val="一级无标题条"/>
    <w:basedOn w:val="260"/>
    <w:qFormat/>
    <w:uiPriority w:val="0"/>
    <w:pPr>
      <w:spacing w:before="0" w:beforeLines="0" w:after="0" w:afterLines="0"/>
      <w:outlineLvl w:val="9"/>
    </w:pPr>
    <w:rPr>
      <w:rFonts w:asciiTheme="majorEastAsia" w:eastAsiaTheme="majorEastAsia"/>
    </w:rPr>
  </w:style>
  <w:style w:type="character" w:customStyle="1" w:styleId="331">
    <w:name w:val="条文脚注 Char"/>
    <w:basedOn w:val="332"/>
    <w:link w:val="296"/>
    <w:qFormat/>
    <w:uiPriority w:val="0"/>
    <w:rPr>
      <w:rFonts w:ascii="宋体"/>
      <w:kern w:val="2"/>
      <w:sz w:val="18"/>
      <w:szCs w:val="18"/>
    </w:rPr>
  </w:style>
  <w:style w:type="character" w:customStyle="1" w:styleId="332">
    <w:name w:val="正文文本 字符"/>
    <w:basedOn w:val="231"/>
    <w:link w:val="40"/>
    <w:semiHidden/>
    <w:qFormat/>
    <w:uiPriority w:val="99"/>
    <w:rPr>
      <w:kern w:val="2"/>
      <w:sz w:val="21"/>
      <w:szCs w:val="24"/>
    </w:rPr>
  </w:style>
  <w:style w:type="paragraph" w:customStyle="1" w:styleId="333">
    <w:name w:val="ICS"/>
    <w:basedOn w:val="273"/>
    <w:qFormat/>
    <w:uiPriority w:val="0"/>
    <w:pPr>
      <w:jc w:val="left"/>
    </w:pPr>
    <w:rPr>
      <w:rFonts w:ascii="黑体" w:eastAsia="黑体"/>
      <w:sz w:val="21"/>
    </w:rPr>
  </w:style>
  <w:style w:type="paragraph" w:customStyle="1" w:styleId="334">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5">
    <w:name w:val="发布"/>
    <w:basedOn w:val="40"/>
    <w:qFormat/>
    <w:uiPriority w:val="0"/>
    <w:pPr>
      <w:spacing w:after="0" w:line="280" w:lineRule="exact"/>
      <w:ind w:left="284"/>
    </w:pPr>
    <w:rPr>
      <w:rFonts w:ascii="黑体" w:eastAsia="黑体"/>
      <w:kern w:val="3"/>
      <w:sz w:val="28"/>
    </w:rPr>
  </w:style>
  <w:style w:type="paragraph" w:customStyle="1" w:styleId="336">
    <w:name w:val="标准称谓DB"/>
    <w:next w:val="1"/>
    <w:link w:val="337"/>
    <w:qFormat/>
    <w:uiPriority w:val="0"/>
    <w:pPr>
      <w:widowControl w:val="0"/>
      <w:kinsoku w:val="0"/>
      <w:overflowPunct w:val="0"/>
      <w:autoSpaceDE w:val="0"/>
      <w:autoSpaceDN w:val="0"/>
      <w:spacing w:line="0" w:lineRule="atLeast"/>
      <w:jc w:val="distribute"/>
    </w:pPr>
    <w:rPr>
      <w:rFonts w:ascii="黑体" w:hAnsi="黑体" w:eastAsia="黑体" w:cs="Times New Roman"/>
      <w:b/>
      <w:bCs/>
      <w:w w:val="135"/>
      <w:sz w:val="52"/>
      <w:lang w:val="en-US" w:eastAsia="zh-CN" w:bidi="ar-SA"/>
    </w:rPr>
  </w:style>
  <w:style w:type="character" w:customStyle="1" w:styleId="337">
    <w:name w:val="标准称谓DB Char"/>
    <w:basedOn w:val="231"/>
    <w:link w:val="336"/>
    <w:qFormat/>
    <w:uiPriority w:val="0"/>
    <w:rPr>
      <w:rFonts w:ascii="黑体" w:hAnsi="黑体" w:eastAsia="黑体"/>
      <w:b/>
      <w:bCs/>
      <w:w w:val="135"/>
      <w:sz w:val="52"/>
    </w:rPr>
  </w:style>
  <w:style w:type="paragraph" w:customStyle="1" w:styleId="338">
    <w:name w:val="标准称谓QB"/>
    <w:next w:val="1"/>
    <w:link w:val="339"/>
    <w:qFormat/>
    <w:uiPriority w:val="0"/>
    <w:pPr>
      <w:widowControl w:val="0"/>
      <w:kinsoku w:val="0"/>
      <w:overflowPunct w:val="0"/>
      <w:autoSpaceDE w:val="0"/>
      <w:autoSpaceDN w:val="0"/>
      <w:spacing w:line="0" w:lineRule="atLeast"/>
      <w:jc w:val="distribute"/>
    </w:pPr>
    <w:rPr>
      <w:rFonts w:ascii="黑体" w:hAnsi="黑体" w:eastAsia="黑体" w:cs="Times New Roman"/>
      <w:bCs/>
      <w:spacing w:val="40"/>
      <w:sz w:val="48"/>
      <w:lang w:val="en-US" w:eastAsia="zh-CN" w:bidi="ar-SA"/>
    </w:rPr>
  </w:style>
  <w:style w:type="character" w:customStyle="1" w:styleId="339">
    <w:name w:val="标准称谓QB Char"/>
    <w:basedOn w:val="231"/>
    <w:link w:val="338"/>
    <w:qFormat/>
    <w:uiPriority w:val="0"/>
    <w:rPr>
      <w:rFonts w:ascii="黑体" w:hAnsi="黑体" w:eastAsia="黑体"/>
      <w:bCs/>
      <w:spacing w:val="40"/>
      <w:sz w:val="48"/>
    </w:rPr>
  </w:style>
  <w:style w:type="paragraph" w:customStyle="1" w:styleId="340">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1">
    <w:name w:val="发布部门DB"/>
    <w:next w:val="1"/>
    <w:qFormat/>
    <w:uiPriority w:val="0"/>
    <w:pPr>
      <w:spacing w:line="360" w:lineRule="exact"/>
      <w:jc w:val="center"/>
    </w:pPr>
    <w:rPr>
      <w:rFonts w:ascii="宋体" w:hAnsi="宋体" w:eastAsia="宋体" w:cs="Times New Roman"/>
      <w:b/>
      <w:sz w:val="36"/>
      <w:lang w:val="en-US" w:eastAsia="zh-CN" w:bidi="ar-SA"/>
    </w:rPr>
  </w:style>
  <w:style w:type="paragraph" w:customStyle="1" w:styleId="342">
    <w:name w:val="发布部门QB"/>
    <w:next w:val="1"/>
    <w:qFormat/>
    <w:uiPriority w:val="0"/>
    <w:pPr>
      <w:snapToGrid w:val="0"/>
      <w:jc w:val="center"/>
    </w:pPr>
    <w:rPr>
      <w:rFonts w:ascii="黑体" w:hAnsi="黑体" w:eastAsia="黑体" w:cs="Times New Roman"/>
      <w:spacing w:val="20"/>
      <w:w w:val="135"/>
      <w:sz w:val="28"/>
      <w:lang w:val="en-US" w:eastAsia="zh-CN" w:bidi="ar-SA"/>
    </w:rPr>
  </w:style>
  <w:style w:type="paragraph" w:customStyle="1" w:styleId="343">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4">
    <w:name w:val="标准标志QB"/>
    <w:next w:val="1"/>
    <w:qFormat/>
    <w:uiPriority w:val="0"/>
    <w:pPr>
      <w:shd w:val="solid" w:color="FFFFFF" w:fill="FFFFFF"/>
      <w:spacing w:line="0" w:lineRule="atLeast"/>
      <w:jc w:val="right"/>
    </w:pPr>
    <w:rPr>
      <w:rFonts w:ascii="Times New Roman" w:hAnsi="Times New Roman" w:eastAsia="Times New Roman" w:cs="Times New Roman"/>
      <w:b/>
      <w:w w:val="130"/>
      <w:kern w:val="2"/>
      <w:sz w:val="96"/>
      <w:lang w:val="en-US" w:eastAsia="zh-CN" w:bidi="ar-SA"/>
    </w:rPr>
  </w:style>
  <w:style w:type="paragraph" w:customStyle="1" w:styleId="345">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6">
    <w:name w:val="示例X"/>
    <w:basedOn w:val="258"/>
    <w:next w:val="293"/>
    <w:qFormat/>
    <w:uiPriority w:val="0"/>
    <w:rPr>
      <w:sz w:val="18"/>
    </w:rPr>
  </w:style>
  <w:style w:type="paragraph" w:customStyle="1" w:styleId="347">
    <w:name w:val="附录表标号"/>
    <w:basedOn w:val="1"/>
    <w:next w:val="258"/>
    <w:qFormat/>
    <w:uiPriority w:val="0"/>
    <w:pPr>
      <w:numPr>
        <w:ilvl w:val="0"/>
        <w:numId w:val="13"/>
      </w:numPr>
      <w:snapToGrid w:val="0"/>
      <w:spacing w:line="14" w:lineRule="exact"/>
      <w:jc w:val="center"/>
    </w:pPr>
    <w:rPr>
      <w:color w:val="FFFFFF"/>
    </w:rPr>
  </w:style>
  <w:style w:type="paragraph" w:customStyle="1" w:styleId="348">
    <w:name w:val="附录图标号"/>
    <w:basedOn w:val="1"/>
    <w:next w:val="258"/>
    <w:qFormat/>
    <w:uiPriority w:val="0"/>
    <w:pPr>
      <w:numPr>
        <w:ilvl w:val="0"/>
        <w:numId w:val="14"/>
      </w:numPr>
      <w:snapToGrid w:val="0"/>
      <w:spacing w:line="14" w:lineRule="exact"/>
      <w:jc w:val="center"/>
    </w:pPr>
    <w:rPr>
      <w:color w:val="FFFFFF"/>
    </w:rPr>
  </w:style>
  <w:style w:type="paragraph" w:customStyle="1" w:styleId="349">
    <w:name w:val="重要提示"/>
    <w:basedOn w:val="258"/>
    <w:next w:val="258"/>
    <w:qFormat/>
    <w:uiPriority w:val="0"/>
    <w:rPr>
      <w:rFonts w:eastAsia="黑体"/>
    </w:rPr>
  </w:style>
  <w:style w:type="paragraph" w:customStyle="1" w:styleId="350">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1">
    <w:name w:val="TOC 标题1"/>
    <w:basedOn w:val="4"/>
    <w:next w:val="1"/>
    <w:unhideWhenUsed/>
    <w:qFormat/>
    <w:uiPriority w:val="39"/>
    <w:pPr>
      <w:outlineLvl w:val="9"/>
    </w:pPr>
  </w:style>
  <w:style w:type="character" w:customStyle="1" w:styleId="352">
    <w:name w:val="不明显参考1"/>
    <w:basedOn w:val="231"/>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3">
    <w:name w:val="不明显强调1"/>
    <w:basedOn w:val="231"/>
    <w:qFormat/>
    <w:uiPriority w:val="19"/>
    <w:rPr>
      <w:i/>
      <w:iCs/>
      <w:color w:val="404040" w:themeColor="text1" w:themeTint="BF"/>
      <w14:textFill>
        <w14:solidFill>
          <w14:schemeClr w14:val="tx1">
            <w14:lumMod w14:val="75000"/>
            <w14:lumOff w14:val="25000"/>
          </w14:schemeClr>
        </w14:solidFill>
      </w14:textFill>
    </w:rPr>
  </w:style>
  <w:style w:type="character" w:customStyle="1" w:styleId="354">
    <w:name w:val="称呼 字符"/>
    <w:basedOn w:val="231"/>
    <w:link w:val="36"/>
    <w:semiHidden/>
    <w:qFormat/>
    <w:uiPriority w:val="99"/>
    <w:rPr>
      <w:kern w:val="2"/>
      <w:sz w:val="21"/>
      <w:szCs w:val="24"/>
    </w:rPr>
  </w:style>
  <w:style w:type="character" w:customStyle="1" w:styleId="355">
    <w:name w:val="纯文本 字符"/>
    <w:basedOn w:val="231"/>
    <w:link w:val="49"/>
    <w:semiHidden/>
    <w:qFormat/>
    <w:uiPriority w:val="99"/>
    <w:rPr>
      <w:rFonts w:ascii="宋体" w:hAnsi="Courier New" w:cs="Courier New"/>
      <w:kern w:val="2"/>
      <w:sz w:val="21"/>
      <w:szCs w:val="21"/>
    </w:rPr>
  </w:style>
  <w:style w:type="character" w:customStyle="1" w:styleId="356">
    <w:name w:val="电子邮件签名 字符"/>
    <w:basedOn w:val="231"/>
    <w:link w:val="25"/>
    <w:semiHidden/>
    <w:qFormat/>
    <w:uiPriority w:val="99"/>
    <w:rPr>
      <w:kern w:val="2"/>
      <w:sz w:val="21"/>
      <w:szCs w:val="24"/>
    </w:rPr>
  </w:style>
  <w:style w:type="character" w:customStyle="1" w:styleId="357">
    <w:name w:val="副标题 字符"/>
    <w:basedOn w:val="231"/>
    <w:link w:val="66"/>
    <w:qFormat/>
    <w:uiPriority w:val="11"/>
    <w:rPr>
      <w:rFonts w:asciiTheme="majorHAnsi" w:hAnsiTheme="majorHAnsi" w:cstheme="majorBidi"/>
      <w:b/>
      <w:bCs/>
      <w:kern w:val="28"/>
      <w:sz w:val="32"/>
      <w:szCs w:val="32"/>
    </w:rPr>
  </w:style>
  <w:style w:type="character" w:customStyle="1" w:styleId="358">
    <w:name w:val="宏文本 字符"/>
    <w:basedOn w:val="231"/>
    <w:link w:val="3"/>
    <w:semiHidden/>
    <w:qFormat/>
    <w:uiPriority w:val="99"/>
    <w:rPr>
      <w:rFonts w:ascii="Courier New" w:hAnsi="Courier New" w:cs="Courier New"/>
      <w:kern w:val="2"/>
      <w:sz w:val="24"/>
      <w:szCs w:val="24"/>
    </w:rPr>
  </w:style>
  <w:style w:type="character" w:customStyle="1" w:styleId="359">
    <w:name w:val="结束语 字符"/>
    <w:basedOn w:val="231"/>
    <w:link w:val="38"/>
    <w:semiHidden/>
    <w:qFormat/>
    <w:uiPriority w:val="99"/>
    <w:rPr>
      <w:kern w:val="2"/>
      <w:sz w:val="21"/>
      <w:szCs w:val="24"/>
    </w:rPr>
  </w:style>
  <w:style w:type="paragraph" w:customStyle="1" w:styleId="360">
    <w:name w:val="List Paragraph"/>
    <w:basedOn w:val="1"/>
    <w:qFormat/>
    <w:uiPriority w:val="34"/>
    <w:pPr>
      <w:ind w:firstLine="420" w:firstLineChars="200"/>
    </w:pPr>
  </w:style>
  <w:style w:type="character" w:customStyle="1" w:styleId="361">
    <w:name w:val="明显参考1"/>
    <w:basedOn w:val="231"/>
    <w:qFormat/>
    <w:uiPriority w:val="32"/>
    <w:rPr>
      <w:b/>
      <w:bCs/>
      <w:smallCaps/>
      <w:color w:val="5B9BD5" w:themeColor="accent1"/>
      <w:spacing w:val="5"/>
      <w14:textFill>
        <w14:solidFill>
          <w14:schemeClr w14:val="accent1"/>
        </w14:solidFill>
      </w14:textFill>
    </w:rPr>
  </w:style>
  <w:style w:type="character" w:customStyle="1" w:styleId="362">
    <w:name w:val="明显强调1"/>
    <w:basedOn w:val="231"/>
    <w:qFormat/>
    <w:uiPriority w:val="21"/>
    <w:rPr>
      <w:i/>
      <w:iCs/>
      <w:color w:val="5B9BD5" w:themeColor="accent1"/>
      <w14:textFill>
        <w14:solidFill>
          <w14:schemeClr w14:val="accent1"/>
        </w14:solidFill>
      </w14:textFill>
    </w:rPr>
  </w:style>
  <w:style w:type="paragraph" w:customStyle="1" w:styleId="363">
    <w:name w:val="Intense Quote"/>
    <w:basedOn w:val="1"/>
    <w:next w:val="1"/>
    <w:link w:val="364"/>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64">
    <w:name w:val="明显引用 字符"/>
    <w:basedOn w:val="231"/>
    <w:link w:val="363"/>
    <w:qFormat/>
    <w:uiPriority w:val="30"/>
    <w:rPr>
      <w:i/>
      <w:iCs/>
      <w:color w:val="5B9BD5" w:themeColor="accent1"/>
      <w:kern w:val="2"/>
      <w:sz w:val="21"/>
      <w:szCs w:val="24"/>
      <w14:textFill>
        <w14:solidFill>
          <w14:schemeClr w14:val="accent1"/>
        </w14:solidFill>
      </w14:textFill>
    </w:rPr>
  </w:style>
  <w:style w:type="character" w:customStyle="1" w:styleId="365">
    <w:name w:val="批注框文本 字符"/>
    <w:basedOn w:val="231"/>
    <w:link w:val="58"/>
    <w:semiHidden/>
    <w:qFormat/>
    <w:uiPriority w:val="99"/>
    <w:rPr>
      <w:kern w:val="2"/>
      <w:sz w:val="18"/>
      <w:szCs w:val="18"/>
    </w:rPr>
  </w:style>
  <w:style w:type="character" w:customStyle="1" w:styleId="366">
    <w:name w:val="批注文字 字符"/>
    <w:basedOn w:val="231"/>
    <w:link w:val="34"/>
    <w:semiHidden/>
    <w:qFormat/>
    <w:uiPriority w:val="99"/>
    <w:rPr>
      <w:kern w:val="2"/>
      <w:sz w:val="21"/>
      <w:szCs w:val="24"/>
    </w:rPr>
  </w:style>
  <w:style w:type="character" w:customStyle="1" w:styleId="367">
    <w:name w:val="批注主题 字符"/>
    <w:basedOn w:val="366"/>
    <w:link w:val="85"/>
    <w:semiHidden/>
    <w:qFormat/>
    <w:uiPriority w:val="99"/>
    <w:rPr>
      <w:b/>
      <w:bCs/>
      <w:kern w:val="2"/>
      <w:sz w:val="21"/>
      <w:szCs w:val="24"/>
    </w:rPr>
  </w:style>
  <w:style w:type="character" w:customStyle="1" w:styleId="368">
    <w:name w:val="签名 字符"/>
    <w:basedOn w:val="231"/>
    <w:link w:val="62"/>
    <w:semiHidden/>
    <w:qFormat/>
    <w:uiPriority w:val="99"/>
    <w:rPr>
      <w:kern w:val="2"/>
      <w:sz w:val="21"/>
      <w:szCs w:val="24"/>
    </w:rPr>
  </w:style>
  <w:style w:type="table" w:customStyle="1" w:styleId="369">
    <w:name w:val="清单表 1 浅色1"/>
    <w:basedOn w:val="88"/>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0">
    <w:name w:val="清单表 1 浅色 - 着色 11"/>
    <w:basedOn w:val="88"/>
    <w:qFormat/>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1">
    <w:name w:val="清单表 1 浅色 - 着色 21"/>
    <w:basedOn w:val="88"/>
    <w:qFormat/>
    <w:uiPriority w:val="46"/>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2">
    <w:name w:val="清单表 1 浅色 - 着色 31"/>
    <w:basedOn w:val="88"/>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3">
    <w:name w:val="清单表 1 浅色 - 着色 41"/>
    <w:basedOn w:val="88"/>
    <w:qFormat/>
    <w:uiPriority w:val="46"/>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4">
    <w:name w:val="清单表 1 浅色 - 着色 51"/>
    <w:basedOn w:val="88"/>
    <w:qFormat/>
    <w:uiPriority w:val="46"/>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5">
    <w:name w:val="清单表 1 浅色 - 着色 61"/>
    <w:basedOn w:val="88"/>
    <w:qFormat/>
    <w:uiPriority w:val="46"/>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6">
    <w:name w:val="清单表 21"/>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7">
    <w:name w:val="清单表 2 - 着色 1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8">
    <w:name w:val="清单表 2 - 着色 21"/>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9">
    <w:name w:val="清单表 2 - 着色 31"/>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0">
    <w:name w:val="清单表 2 - 着色 41"/>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1">
    <w:name w:val="清单表 2 - 着色 51"/>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2">
    <w:name w:val="清单表 2 - 着色 61"/>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3">
    <w:name w:val="清单表 31"/>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4">
    <w:name w:val="清单表 3 - 着色 1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5">
    <w:name w:val="清单表 3 - 着色 21"/>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6">
    <w:name w:val="清单表 3 - 着色 31"/>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7">
    <w:name w:val="清单表 3 - 着色 41"/>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88">
    <w:name w:val="清单表 3 - 着色 51"/>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89">
    <w:name w:val="清单表 3 - 着色 61"/>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0">
    <w:name w:val="清单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1">
    <w:name w:val="清单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2">
    <w:name w:val="清单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3">
    <w:name w:val="清单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4">
    <w:name w:val="清单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5">
    <w:name w:val="清单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6">
    <w:name w:val="清单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7">
    <w:name w:val="清单表 5 深色1"/>
    <w:basedOn w:val="88"/>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8">
    <w:name w:val="清单表 5 深色 - 着色 11"/>
    <w:basedOn w:val="88"/>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9">
    <w:name w:val="清单表 5 深色 - 着色 21"/>
    <w:basedOn w:val="88"/>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清单表 5 深色 - 着色 31"/>
    <w:basedOn w:val="88"/>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清单表 5 深色 - 着色 41"/>
    <w:basedOn w:val="88"/>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清单表 5 深色 - 着色 51"/>
    <w:basedOn w:val="88"/>
    <w:qFormat/>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清单表 5 深色 - 着色 61"/>
    <w:basedOn w:val="88"/>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清单表 6 彩色1"/>
    <w:basedOn w:val="88"/>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5">
    <w:name w:val="清单表 6 彩色 - 着色 11"/>
    <w:basedOn w:val="88"/>
    <w:qFormat/>
    <w:uiPriority w:val="51"/>
    <w:rPr>
      <w:color w:val="2E75B6" w:themeColor="accent1" w:themeShade="BF"/>
    </w:rPr>
    <w:tblPr>
      <w:tblBorders>
        <w:top w:val="single" w:color="5B9BD5" w:themeColor="accent1" w:sz="4" w:space="0"/>
        <w:bottom w:val="single" w:color="5B9BD5" w:themeColor="accent1" w:sz="4" w:space="0"/>
      </w:tblBorders>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6">
    <w:name w:val="清单表 6 彩色 - 着色 21"/>
    <w:basedOn w:val="88"/>
    <w:qFormat/>
    <w:uiPriority w:val="51"/>
    <w:rPr>
      <w:color w:val="C55A11" w:themeColor="accent2" w:themeShade="BF"/>
    </w:rPr>
    <w:tblPr>
      <w:tblBorders>
        <w:top w:val="single" w:color="ED7D31" w:themeColor="accent2" w:sz="4" w:space="0"/>
        <w:bottom w:val="single" w:color="ED7D31" w:themeColor="accent2" w:sz="4" w:space="0"/>
      </w:tblBorders>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7">
    <w:name w:val="清单表 6 彩色 - 着色 31"/>
    <w:basedOn w:val="88"/>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08">
    <w:name w:val="清单表 6 彩色 - 着色 41"/>
    <w:basedOn w:val="88"/>
    <w:qFormat/>
    <w:uiPriority w:val="51"/>
    <w:rPr>
      <w:color w:val="BF9000" w:themeColor="accent4" w:themeShade="BF"/>
    </w:rPr>
    <w:tblPr>
      <w:tblBorders>
        <w:top w:val="single" w:color="FFC000" w:themeColor="accent4" w:sz="4" w:space="0"/>
        <w:bottom w:val="single" w:color="FFC000" w:themeColor="accent4" w:sz="4" w:space="0"/>
      </w:tblBorders>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09">
    <w:name w:val="清单表 6 彩色 - 着色 51"/>
    <w:basedOn w:val="88"/>
    <w:qFormat/>
    <w:uiPriority w:val="51"/>
    <w:rPr>
      <w:color w:val="2F5597" w:themeColor="accent5" w:themeShade="BF"/>
    </w:rPr>
    <w:tblPr>
      <w:tblBorders>
        <w:top w:val="single" w:color="4472C4" w:themeColor="accent5" w:sz="4" w:space="0"/>
        <w:bottom w:val="single" w:color="4472C4" w:themeColor="accent5" w:sz="4" w:space="0"/>
      </w:tblBorders>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0">
    <w:name w:val="清单表 6 彩色 - 着色 61"/>
    <w:basedOn w:val="88"/>
    <w:qFormat/>
    <w:uiPriority w:val="51"/>
    <w:rPr>
      <w:color w:val="548235" w:themeColor="accent6" w:themeShade="BF"/>
    </w:rPr>
    <w:tblPr>
      <w:tblBorders>
        <w:top w:val="single" w:color="70AD47" w:themeColor="accent6" w:sz="4" w:space="0"/>
        <w:bottom w:val="single" w:color="70AD47" w:themeColor="accent6" w:sz="4" w:space="0"/>
      </w:tblBorders>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1">
    <w:name w:val="清单表 7 彩色1"/>
    <w:basedOn w:val="88"/>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2">
    <w:name w:val="清单表 7 彩色 - 着色 11"/>
    <w:basedOn w:val="88"/>
    <w:qFormat/>
    <w:uiPriority w:val="52"/>
    <w:rPr>
      <w:color w:val="2E75B6" w:themeColor="accent1" w:themeShade="BF"/>
    </w:r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3">
    <w:name w:val="清单表 7 彩色 - 着色 21"/>
    <w:basedOn w:val="88"/>
    <w:qFormat/>
    <w:uiPriority w:val="52"/>
    <w:rPr>
      <w:color w:val="C55A11" w:themeColor="accent2" w:themeShade="BF"/>
    </w:r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清单表 7 彩色 - 着色 31"/>
    <w:basedOn w:val="88"/>
    <w:qFormat/>
    <w:uiPriority w:val="52"/>
    <w:rPr>
      <w:color w:val="7C7C7C" w:themeColor="accent3" w:themeShade="BF"/>
    </w:r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清单表 7 彩色 - 着色 41"/>
    <w:basedOn w:val="88"/>
    <w:qFormat/>
    <w:uiPriority w:val="52"/>
    <w:rPr>
      <w:color w:val="BF9000" w:themeColor="accent4" w:themeShade="BF"/>
    </w:r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清单表 7 彩色 - 着色 51"/>
    <w:basedOn w:val="88"/>
    <w:qFormat/>
    <w:uiPriority w:val="52"/>
    <w:rPr>
      <w:color w:val="2F5597" w:themeColor="accent5" w:themeShade="BF"/>
    </w:r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清单表 7 彩色 - 着色 61"/>
    <w:basedOn w:val="88"/>
    <w:qFormat/>
    <w:uiPriority w:val="52"/>
    <w:rPr>
      <w:color w:val="548235" w:themeColor="accent6" w:themeShade="BF"/>
    </w:r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18">
    <w:name w:val="日期 字符"/>
    <w:basedOn w:val="231"/>
    <w:link w:val="54"/>
    <w:semiHidden/>
    <w:qFormat/>
    <w:uiPriority w:val="99"/>
    <w:rPr>
      <w:kern w:val="2"/>
      <w:sz w:val="21"/>
      <w:szCs w:val="24"/>
    </w:rPr>
  </w:style>
  <w:style w:type="character" w:customStyle="1" w:styleId="419">
    <w:name w:val="书籍标题1"/>
    <w:basedOn w:val="231"/>
    <w:qFormat/>
    <w:uiPriority w:val="33"/>
    <w:rPr>
      <w:b/>
      <w:bCs/>
      <w:i/>
      <w:iCs/>
      <w:spacing w:val="5"/>
    </w:rPr>
  </w:style>
  <w:style w:type="paragraph" w:customStyle="1" w:styleId="420">
    <w:name w:val="书目1"/>
    <w:basedOn w:val="1"/>
    <w:next w:val="1"/>
    <w:unhideWhenUsed/>
    <w:qFormat/>
    <w:uiPriority w:val="37"/>
  </w:style>
  <w:style w:type="table" w:customStyle="1" w:styleId="421">
    <w:name w:val="网格表 1 浅色1"/>
    <w:basedOn w:val="8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2">
    <w:name w:val="网格表 1 浅色 - 着色 11"/>
    <w:basedOn w:val="88"/>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3">
    <w:name w:val="网格表 1 浅色 - 着色 21"/>
    <w:basedOn w:val="88"/>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4">
    <w:name w:val="网格表 1 浅色 - 着色 31"/>
    <w:basedOn w:val="88"/>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5">
    <w:name w:val="网格表 1 浅色 - 着色 41"/>
    <w:basedOn w:val="88"/>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6">
    <w:name w:val="网格表 1 浅色 - 着色 51"/>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7">
    <w:name w:val="网格表 1 浅色 - 着色 61"/>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28">
    <w:name w:val="网格表 21"/>
    <w:basedOn w:val="88"/>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29">
    <w:name w:val="网格表 2 - 着色 11"/>
    <w:basedOn w:val="88"/>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0">
    <w:name w:val="网格表 2 - 着色 21"/>
    <w:basedOn w:val="88"/>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1">
    <w:name w:val="网格表 2 - 着色 31"/>
    <w:basedOn w:val="88"/>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2">
    <w:name w:val="网格表 2 - 着色 41"/>
    <w:basedOn w:val="88"/>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3">
    <w:name w:val="网格表 2 - 着色 51"/>
    <w:basedOn w:val="88"/>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4">
    <w:name w:val="网格表 2 - 着色 61"/>
    <w:basedOn w:val="88"/>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5">
    <w:name w:val="网格表 31"/>
    <w:basedOn w:val="88"/>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6">
    <w:name w:val="网格表 3 - 着色 11"/>
    <w:basedOn w:val="88"/>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7">
    <w:name w:val="网格表 3 - 着色 21"/>
    <w:basedOn w:val="88"/>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38">
    <w:name w:val="网格表 3 - 着色 31"/>
    <w:basedOn w:val="88"/>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39">
    <w:name w:val="网格表 3 - 着色 41"/>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0">
    <w:name w:val="网格表 3 - 着色 51"/>
    <w:basedOn w:val="88"/>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1">
    <w:name w:val="网格表 3 - 着色 61"/>
    <w:basedOn w:val="88"/>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2">
    <w:name w:val="网格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3">
    <w:name w:val="网格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4">
    <w:name w:val="网格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5">
    <w:name w:val="网格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6">
    <w:name w:val="网格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7">
    <w:name w:val="网格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48">
    <w:name w:val="网格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49">
    <w:name w:val="网格表 5 深色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0">
    <w:name w:val="网格表 5 深色 - 着色 1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1">
    <w:name w:val="网格表 5 深色 - 着色 2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2">
    <w:name w:val="网格表 5 深色 - 着色 3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3">
    <w:name w:val="网格表 5 深色 - 着色 4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4">
    <w:name w:val="网格表 5 深色 - 着色 5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5">
    <w:name w:val="网格表 5 深色 - 着色 6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6">
    <w:name w:val="网格表 6 彩色1"/>
    <w:basedOn w:val="88"/>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7">
    <w:name w:val="网格表 6 彩色 - 着色 11"/>
    <w:basedOn w:val="88"/>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58">
    <w:name w:val="网格表 6 彩色 - 着色 21"/>
    <w:basedOn w:val="88"/>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59">
    <w:name w:val="网格表 6 彩色 - 着色 31"/>
    <w:basedOn w:val="88"/>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0">
    <w:name w:val="网格表 6 彩色 - 着色 41"/>
    <w:basedOn w:val="88"/>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1">
    <w:name w:val="网格表 6 彩色 - 着色 51"/>
    <w:basedOn w:val="88"/>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2">
    <w:name w:val="网格表 6 彩色 - 着色 61"/>
    <w:basedOn w:val="88"/>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3">
    <w:name w:val="网格表 7 彩色1"/>
    <w:basedOn w:val="88"/>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4">
    <w:name w:val="网格表 7 彩色 - 着色 11"/>
    <w:basedOn w:val="88"/>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5">
    <w:name w:val="网格表 7 彩色 - 着色 21"/>
    <w:basedOn w:val="88"/>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6">
    <w:name w:val="网格表 7 彩色 - 着色 31"/>
    <w:basedOn w:val="88"/>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7">
    <w:name w:val="网格表 7 彩色 - 着色 41"/>
    <w:basedOn w:val="88"/>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68">
    <w:name w:val="网格表 7 彩色 - 着色 51"/>
    <w:basedOn w:val="88"/>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69">
    <w:name w:val="网格表 7 彩色 - 着色 61"/>
    <w:basedOn w:val="88"/>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0">
    <w:name w:val="网格型浅色1"/>
    <w:basedOn w:val="8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471">
    <w:name w:val="尾注文本 字符"/>
    <w:basedOn w:val="231"/>
    <w:link w:val="56"/>
    <w:qFormat/>
    <w:uiPriority w:val="99"/>
    <w:rPr>
      <w:kern w:val="2"/>
      <w:sz w:val="21"/>
      <w:szCs w:val="24"/>
    </w:rPr>
  </w:style>
  <w:style w:type="character" w:customStyle="1" w:styleId="472">
    <w:name w:val="文档结构图 字符"/>
    <w:basedOn w:val="231"/>
    <w:link w:val="32"/>
    <w:semiHidden/>
    <w:qFormat/>
    <w:uiPriority w:val="99"/>
    <w:rPr>
      <w:rFonts w:ascii="Microsoft YaHei UI" w:eastAsia="Microsoft YaHei UI"/>
      <w:kern w:val="2"/>
      <w:sz w:val="18"/>
      <w:szCs w:val="18"/>
    </w:rPr>
  </w:style>
  <w:style w:type="table" w:customStyle="1" w:styleId="473">
    <w:name w:val="无格式表格 11"/>
    <w:basedOn w:val="88"/>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4">
    <w:name w:val="无格式表格 21"/>
    <w:basedOn w:val="88"/>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5">
    <w:name w:val="无格式表格 31"/>
    <w:basedOn w:val="88"/>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6">
    <w:name w:val="无格式表格 41"/>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无格式表格 51"/>
    <w:basedOn w:val="88"/>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customStyle="1" w:styleId="47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79">
    <w:name w:val="信息标题 字符"/>
    <w:basedOn w:val="231"/>
    <w:link w:val="79"/>
    <w:semiHidden/>
    <w:qFormat/>
    <w:uiPriority w:val="99"/>
    <w:rPr>
      <w:rFonts w:asciiTheme="majorHAnsi" w:hAnsiTheme="majorHAnsi" w:eastAsiaTheme="majorEastAsia" w:cstheme="majorBidi"/>
      <w:kern w:val="2"/>
      <w:sz w:val="24"/>
      <w:szCs w:val="24"/>
      <w:shd w:val="pct20" w:color="auto" w:fill="auto"/>
    </w:rPr>
  </w:style>
  <w:style w:type="paragraph" w:customStyle="1" w:styleId="480">
    <w:name w:val="Quote"/>
    <w:basedOn w:val="1"/>
    <w:next w:val="1"/>
    <w:link w:val="481"/>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481">
    <w:name w:val="引用 字符"/>
    <w:basedOn w:val="231"/>
    <w:link w:val="480"/>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customStyle="1" w:styleId="482">
    <w:name w:val="Placeholder Text"/>
    <w:basedOn w:val="231"/>
    <w:semiHidden/>
    <w:qFormat/>
    <w:uiPriority w:val="99"/>
    <w:rPr>
      <w:color w:val="808080"/>
    </w:rPr>
  </w:style>
  <w:style w:type="character" w:customStyle="1" w:styleId="483">
    <w:name w:val="正文文本首行缩进 字符"/>
    <w:basedOn w:val="332"/>
    <w:link w:val="86"/>
    <w:semiHidden/>
    <w:qFormat/>
    <w:uiPriority w:val="99"/>
    <w:rPr>
      <w:kern w:val="2"/>
      <w:sz w:val="21"/>
      <w:szCs w:val="24"/>
    </w:rPr>
  </w:style>
  <w:style w:type="character" w:customStyle="1" w:styleId="484">
    <w:name w:val="正文文本缩进 字符"/>
    <w:basedOn w:val="231"/>
    <w:link w:val="41"/>
    <w:semiHidden/>
    <w:qFormat/>
    <w:uiPriority w:val="99"/>
    <w:rPr>
      <w:kern w:val="2"/>
      <w:sz w:val="21"/>
      <w:szCs w:val="24"/>
    </w:rPr>
  </w:style>
  <w:style w:type="character" w:customStyle="1" w:styleId="485">
    <w:name w:val="正文文本首行缩进 2 字符"/>
    <w:basedOn w:val="484"/>
    <w:link w:val="87"/>
    <w:semiHidden/>
    <w:qFormat/>
    <w:uiPriority w:val="99"/>
    <w:rPr>
      <w:kern w:val="2"/>
      <w:sz w:val="21"/>
      <w:szCs w:val="24"/>
    </w:rPr>
  </w:style>
  <w:style w:type="character" w:customStyle="1" w:styleId="486">
    <w:name w:val="正文文本 2 字符"/>
    <w:basedOn w:val="231"/>
    <w:link w:val="76"/>
    <w:semiHidden/>
    <w:qFormat/>
    <w:uiPriority w:val="99"/>
    <w:rPr>
      <w:kern w:val="2"/>
      <w:sz w:val="21"/>
      <w:szCs w:val="24"/>
    </w:rPr>
  </w:style>
  <w:style w:type="character" w:customStyle="1" w:styleId="487">
    <w:name w:val="正文文本 3 字符"/>
    <w:basedOn w:val="231"/>
    <w:link w:val="37"/>
    <w:semiHidden/>
    <w:qFormat/>
    <w:uiPriority w:val="99"/>
    <w:rPr>
      <w:kern w:val="2"/>
      <w:sz w:val="16"/>
      <w:szCs w:val="16"/>
    </w:rPr>
  </w:style>
  <w:style w:type="character" w:customStyle="1" w:styleId="488">
    <w:name w:val="正文文本缩进 2 字符"/>
    <w:basedOn w:val="231"/>
    <w:link w:val="55"/>
    <w:semiHidden/>
    <w:qFormat/>
    <w:uiPriority w:val="99"/>
    <w:rPr>
      <w:kern w:val="2"/>
      <w:sz w:val="21"/>
      <w:szCs w:val="24"/>
    </w:rPr>
  </w:style>
  <w:style w:type="character" w:customStyle="1" w:styleId="489">
    <w:name w:val="正文文本缩进 3 字符"/>
    <w:basedOn w:val="231"/>
    <w:link w:val="71"/>
    <w:semiHidden/>
    <w:qFormat/>
    <w:uiPriority w:val="99"/>
    <w:rPr>
      <w:kern w:val="2"/>
      <w:sz w:val="16"/>
      <w:szCs w:val="16"/>
    </w:rPr>
  </w:style>
  <w:style w:type="character" w:customStyle="1" w:styleId="490">
    <w:name w:val="注释标题 字符"/>
    <w:basedOn w:val="231"/>
    <w:link w:val="22"/>
    <w:semiHidden/>
    <w:qFormat/>
    <w:uiPriority w:val="99"/>
    <w:rPr>
      <w:kern w:val="2"/>
      <w:sz w:val="21"/>
      <w:szCs w:val="24"/>
    </w:rPr>
  </w:style>
  <w:style w:type="paragraph" w:customStyle="1" w:styleId="491">
    <w:name w:val="附录无标题章"/>
    <w:basedOn w:val="276"/>
    <w:qFormat/>
    <w:uiPriority w:val="0"/>
    <w:pPr>
      <w:spacing w:before="0" w:beforeLines="0" w:after="0" w:afterLines="0"/>
    </w:pPr>
    <w:rPr>
      <w:rFonts w:asciiTheme="majorEastAsia" w:eastAsiaTheme="majorEastAsia"/>
    </w:rPr>
  </w:style>
  <w:style w:type="paragraph" w:customStyle="1" w:styleId="492">
    <w:name w:val="附录一级无标题条"/>
    <w:basedOn w:val="277"/>
    <w:qFormat/>
    <w:uiPriority w:val="0"/>
    <w:pPr>
      <w:spacing w:before="0" w:beforeLines="0" w:after="0" w:afterLines="0"/>
    </w:pPr>
    <w:rPr>
      <w:rFonts w:asciiTheme="majorEastAsia" w:eastAsiaTheme="majorEastAsia"/>
    </w:rPr>
  </w:style>
  <w:style w:type="paragraph" w:customStyle="1" w:styleId="493">
    <w:name w:val="附录二级无标题条"/>
    <w:basedOn w:val="278"/>
    <w:qFormat/>
    <w:uiPriority w:val="0"/>
    <w:pPr>
      <w:spacing w:before="0" w:beforeLines="0" w:after="0" w:afterLines="0"/>
    </w:pPr>
    <w:rPr>
      <w:rFonts w:asciiTheme="majorEastAsia" w:eastAsiaTheme="majorEastAsia"/>
    </w:rPr>
  </w:style>
  <w:style w:type="paragraph" w:customStyle="1" w:styleId="494">
    <w:name w:val="附录三级无标题条"/>
    <w:basedOn w:val="279"/>
    <w:qFormat/>
    <w:uiPriority w:val="0"/>
    <w:pPr>
      <w:spacing w:before="0" w:beforeLines="0" w:after="0" w:afterLines="0"/>
    </w:pPr>
    <w:rPr>
      <w:rFonts w:asciiTheme="majorEastAsia" w:eastAsiaTheme="majorEastAsia"/>
    </w:rPr>
  </w:style>
  <w:style w:type="paragraph" w:customStyle="1" w:styleId="495">
    <w:name w:val="附录四级无标题条"/>
    <w:basedOn w:val="280"/>
    <w:qFormat/>
    <w:uiPriority w:val="0"/>
    <w:pPr>
      <w:spacing w:before="0" w:beforeLines="0" w:after="0" w:afterLines="0"/>
    </w:pPr>
    <w:rPr>
      <w:rFonts w:asciiTheme="majorEastAsia" w:eastAsiaTheme="majorEastAsia"/>
    </w:rPr>
  </w:style>
  <w:style w:type="paragraph" w:customStyle="1" w:styleId="496">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spacing w:line="360" w:lineRule="exact"/>
      <w:jc w:val="center"/>
    </w:pPr>
    <w:rPr>
      <w:rFonts w:ascii="宋体"/>
      <w:b/>
      <w:kern w:val="0"/>
      <w:sz w:val="36"/>
      <w:szCs w:val="20"/>
    </w:rPr>
  </w:style>
  <w:style w:type="paragraph" w:customStyle="1" w:styleId="504">
    <w:name w:val="标准标志CEC"/>
    <w:basedOn w:val="1"/>
    <w:qFormat/>
    <w:uiPriority w:val="0"/>
    <w:pPr>
      <w:jc w:val="right"/>
    </w:pPr>
    <w:rPr>
      <w:rFonts w:eastAsia="Times New Roman"/>
      <w:b/>
      <w:sz w:val="96"/>
    </w:rPr>
  </w:style>
  <w:style w:type="paragraph" w:customStyle="1" w:styleId="505">
    <w:name w:val="标准称谓CEC"/>
    <w:basedOn w:val="1"/>
    <w:qFormat/>
    <w:uiPriority w:val="0"/>
    <w:pPr>
      <w:jc w:val="center"/>
    </w:pPr>
    <w:rPr>
      <w:rFonts w:eastAsia="黑体"/>
      <w:b/>
      <w:w w:val="132"/>
      <w:kern w:val="0"/>
      <w:sz w:val="52"/>
    </w:rPr>
  </w:style>
  <w:style w:type="paragraph" w:customStyle="1" w:styleId="506">
    <w:name w:val="发布CEC"/>
    <w:basedOn w:val="498"/>
    <w:qFormat/>
    <w:uiPriority w:val="0"/>
  </w:style>
  <w:style w:type="paragraph" w:customStyle="1" w:styleId="507">
    <w:name w:val="发布部门CEC"/>
    <w:basedOn w:val="1"/>
    <w:qFormat/>
    <w:uiPriority w:val="0"/>
    <w:pPr>
      <w:snapToGrid w:val="0"/>
    </w:pPr>
    <w:rPr>
      <w:b/>
      <w:w w:val="135"/>
      <w:kern w:val="0"/>
      <w:sz w:val="36"/>
    </w:rPr>
  </w:style>
  <w:style w:type="paragraph" w:customStyle="1" w:styleId="508">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09">
    <w:name w:val="附录公式标号"/>
    <w:basedOn w:val="360"/>
    <w:qFormat/>
    <w:uiPriority w:val="0"/>
    <w:pPr>
      <w:numPr>
        <w:ilvl w:val="0"/>
        <w:numId w:val="26"/>
      </w:numPr>
      <w:snapToGrid w:val="0"/>
      <w:spacing w:line="14" w:lineRule="atLeast"/>
      <w:ind w:firstLineChars="0"/>
    </w:pPr>
    <w:rPr>
      <w:color w:val="FFFFFF" w:themeColor="background1"/>
      <w:sz w:val="2"/>
      <w14:textFill>
        <w14:solidFill>
          <w14:schemeClr w14:val="bg1"/>
        </w14:solidFill>
      </w14:textFill>
    </w:rPr>
  </w:style>
  <w:style w:type="paragraph" w:customStyle="1" w:styleId="510">
    <w:name w:val="附录公式编号"/>
    <w:basedOn w:val="40"/>
    <w:qFormat/>
    <w:uiPriority w:val="0"/>
    <w:pPr>
      <w:numPr>
        <w:ilvl w:val="1"/>
        <w:numId w:val="26"/>
      </w:numPr>
    </w:pPr>
  </w:style>
  <w:style w:type="paragraph" w:customStyle="1" w:styleId="511">
    <w:name w:val="引言二级条标题"/>
    <w:basedOn w:val="1"/>
    <w:next w:val="258"/>
    <w:qFormat/>
    <w:uiPriority w:val="0"/>
    <w:pPr>
      <w:widowControl/>
      <w:numPr>
        <w:ilvl w:val="2"/>
        <w:numId w:val="27"/>
      </w:numPr>
      <w:autoSpaceDE w:val="0"/>
      <w:autoSpaceDN w:val="0"/>
      <w:spacing w:before="50" w:beforeLines="50" w:after="50" w:afterLines="50"/>
    </w:pPr>
    <w:rPr>
      <w:rFonts w:ascii="黑体" w:eastAsia="黑体"/>
      <w:kern w:val="0"/>
      <w:szCs w:val="20"/>
    </w:rPr>
  </w:style>
  <w:style w:type="paragraph" w:customStyle="1" w:styleId="512">
    <w:name w:val="引言二级无标题条"/>
    <w:basedOn w:val="511"/>
    <w:next w:val="258"/>
    <w:qFormat/>
    <w:uiPriority w:val="0"/>
    <w:pPr>
      <w:spacing w:before="0" w:beforeLines="0" w:after="0" w:afterLines="0" w:line="276" w:lineRule="auto"/>
    </w:pPr>
    <w:rPr>
      <w:rFonts w:ascii="宋体" w:eastAsia="宋体"/>
    </w:rPr>
  </w:style>
  <w:style w:type="paragraph" w:customStyle="1" w:styleId="513">
    <w:name w:val="引言三级条标题"/>
    <w:basedOn w:val="1"/>
    <w:next w:val="258"/>
    <w:qFormat/>
    <w:uiPriority w:val="0"/>
    <w:pPr>
      <w:widowControl/>
      <w:numPr>
        <w:ilvl w:val="3"/>
        <w:numId w:val="27"/>
      </w:numPr>
      <w:autoSpaceDE w:val="0"/>
      <w:autoSpaceDN w:val="0"/>
      <w:spacing w:before="50" w:beforeLines="50" w:after="50" w:afterLines="50"/>
    </w:pPr>
    <w:rPr>
      <w:rFonts w:ascii="黑体" w:eastAsia="黑体"/>
      <w:kern w:val="0"/>
      <w:szCs w:val="20"/>
    </w:rPr>
  </w:style>
  <w:style w:type="paragraph" w:customStyle="1" w:styleId="514">
    <w:name w:val="引言三级无标题条"/>
    <w:basedOn w:val="513"/>
    <w:next w:val="258"/>
    <w:qFormat/>
    <w:uiPriority w:val="0"/>
    <w:pPr>
      <w:spacing w:before="0" w:beforeLines="0" w:after="0" w:afterLines="0" w:line="276" w:lineRule="auto"/>
    </w:pPr>
    <w:rPr>
      <w:rFonts w:ascii="宋体" w:eastAsia="宋体"/>
    </w:rPr>
  </w:style>
  <w:style w:type="paragraph" w:customStyle="1" w:styleId="515">
    <w:name w:val="引言四级条标题"/>
    <w:basedOn w:val="1"/>
    <w:next w:val="258"/>
    <w:qFormat/>
    <w:uiPriority w:val="0"/>
    <w:pPr>
      <w:widowControl/>
      <w:numPr>
        <w:ilvl w:val="4"/>
        <w:numId w:val="27"/>
      </w:numPr>
      <w:autoSpaceDE w:val="0"/>
      <w:autoSpaceDN w:val="0"/>
      <w:spacing w:before="50" w:beforeLines="50" w:after="50" w:afterLines="50"/>
    </w:pPr>
    <w:rPr>
      <w:rFonts w:ascii="黑体" w:eastAsia="黑体"/>
      <w:kern w:val="0"/>
      <w:szCs w:val="20"/>
    </w:rPr>
  </w:style>
  <w:style w:type="paragraph" w:customStyle="1" w:styleId="516">
    <w:name w:val="引言四级无标题条"/>
    <w:basedOn w:val="515"/>
    <w:next w:val="258"/>
    <w:qFormat/>
    <w:uiPriority w:val="0"/>
    <w:pPr>
      <w:spacing w:before="0" w:beforeLines="0" w:after="0" w:afterLines="0" w:line="276" w:lineRule="auto"/>
    </w:pPr>
    <w:rPr>
      <w:rFonts w:ascii="宋体" w:eastAsia="宋体"/>
    </w:rPr>
  </w:style>
  <w:style w:type="paragraph" w:customStyle="1" w:styleId="517">
    <w:name w:val="引言五级条标题"/>
    <w:basedOn w:val="1"/>
    <w:next w:val="258"/>
    <w:qFormat/>
    <w:uiPriority w:val="0"/>
    <w:pPr>
      <w:widowControl/>
      <w:numPr>
        <w:ilvl w:val="5"/>
        <w:numId w:val="27"/>
      </w:numPr>
      <w:autoSpaceDE w:val="0"/>
      <w:autoSpaceDN w:val="0"/>
      <w:spacing w:before="50" w:beforeLines="50" w:after="50" w:afterLines="50"/>
    </w:pPr>
    <w:rPr>
      <w:rFonts w:ascii="黑体" w:eastAsia="黑体"/>
      <w:kern w:val="0"/>
      <w:szCs w:val="20"/>
    </w:rPr>
  </w:style>
  <w:style w:type="paragraph" w:customStyle="1" w:styleId="518">
    <w:name w:val="引言五级无标题条"/>
    <w:basedOn w:val="517"/>
    <w:next w:val="258"/>
    <w:qFormat/>
    <w:uiPriority w:val="0"/>
    <w:pPr>
      <w:spacing w:before="0" w:beforeLines="0" w:after="0" w:afterLines="0" w:line="276" w:lineRule="auto"/>
    </w:pPr>
    <w:rPr>
      <w:rFonts w:ascii="宋体" w:eastAsia="宋体"/>
    </w:rPr>
  </w:style>
  <w:style w:type="paragraph" w:customStyle="1" w:styleId="519">
    <w:name w:val="引言一级条标题"/>
    <w:basedOn w:val="1"/>
    <w:next w:val="258"/>
    <w:qFormat/>
    <w:uiPriority w:val="0"/>
    <w:pPr>
      <w:widowControl/>
      <w:numPr>
        <w:ilvl w:val="1"/>
        <w:numId w:val="27"/>
      </w:numPr>
      <w:autoSpaceDE w:val="0"/>
      <w:autoSpaceDN w:val="0"/>
      <w:spacing w:before="50" w:beforeLines="50" w:after="50" w:afterLines="50"/>
    </w:pPr>
    <w:rPr>
      <w:rFonts w:ascii="黑体" w:eastAsia="黑体"/>
      <w:kern w:val="0"/>
      <w:szCs w:val="20"/>
    </w:rPr>
  </w:style>
  <w:style w:type="paragraph" w:customStyle="1" w:styleId="520">
    <w:name w:val="引言一级无标题条"/>
    <w:basedOn w:val="519"/>
    <w:next w:val="258"/>
    <w:qFormat/>
    <w:uiPriority w:val="0"/>
    <w:pPr>
      <w:spacing w:before="0" w:beforeLines="0" w:after="0" w:afterLines="0" w:line="276" w:lineRule="auto"/>
    </w:pPr>
    <w:rPr>
      <w:rFonts w:ascii="宋体" w:eastAsia="宋体"/>
    </w:rPr>
  </w:style>
  <w:style w:type="paragraph" w:customStyle="1" w:styleId="521">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522">
    <w:name w:val="修订2"/>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xxc/C:\home\gxxc\C:\Users\wangrui\Library\Containers\com.kingsoft.wpsoffice.mac\Data\D:\Program%20Files\&#26631;&#20934;&#32534;&#20889;\bzbx2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bzbx20</Template>
  <Company>Microsoft</Company>
  <Pages>11</Pages>
  <Words>5826</Words>
  <Characters>5986</Characters>
  <Lines>63</Lines>
  <Paragraphs>17</Paragraphs>
  <TotalTime>0</TotalTime>
  <ScaleCrop>false</ScaleCrop>
  <LinksUpToDate>false</LinksUpToDate>
  <CharactersWithSpaces>6786</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2022-06-25T18:34:00Z</dcterms:created>
  <dc:creator>Admin</dc:creator>
  <cp:lastModifiedBy>圆元元气喵</cp:lastModifiedBy>
  <cp:lastPrinted>2022-06-25T22:49:00Z</cp:lastPrinted>
  <dcterms:modified xsi:type="dcterms:W3CDTF">2022-12-30T12:01:08Z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KSOProductBuildVer">
    <vt:lpwstr>2052-11.8.2.10489</vt:lpwstr>
  </property>
  <property fmtid="{D5CDD505-2E9C-101B-9397-08002B2CF9AE}" pid="6" name="ICV">
    <vt:lpwstr>90437EBBB46848A3BA700C756CE54EAA</vt:lpwstr>
  </property>
  <property fmtid="{D5CDD505-2E9C-101B-9397-08002B2CF9AE}" pid="7" name="ICS">
    <vt:lpwstr>ICS</vt:lpwstr>
  </property>
  <property fmtid="{D5CDD505-2E9C-101B-9397-08002B2CF9AE}" pid="8" name="CCS">
    <vt:lpwstr>CCS</vt:lpwstr>
  </property>
  <property fmtid="{D5CDD505-2E9C-101B-9397-08002B2CF9AE}" pid="9" name="BAH">
    <vt:lpwstr>备案号：</vt:lpwstr>
  </property>
  <property fmtid="{D5CDD505-2E9C-101B-9397-08002B2CF9AE}" pid="10" name="BT">
    <vt:lpwstr>广西壮族自治区XXXXXX标准</vt:lpwstr>
  </property>
  <property fmtid="{D5CDD505-2E9C-101B-9397-08002B2CF9AE}" pid="11" name="BZBH">
    <vt:lpwstr>Q/XXX</vt:lpwstr>
  </property>
  <property fmtid="{D5CDD505-2E9C-101B-9397-08002B2CF9AE}" pid="12" name="TDBH">
    <vt:lpwstr/>
  </property>
  <property fmtid="{D5CDD505-2E9C-101B-9397-08002B2CF9AE}" pid="13" name="BZMC">
    <vt:lpwstr>“全链通办”基础任务清单办理流程标准  _x000d_
第7部分：灵活就业</vt:lpwstr>
  </property>
  <property fmtid="{D5CDD505-2E9C-101B-9397-08002B2CF9AE}" pid="14" name="YWMC">
    <vt:lpwstr>英文名称</vt:lpwstr>
  </property>
  <property fmtid="{D5CDD505-2E9C-101B-9397-08002B2CF9AE}" pid="15" name="CBCD">
    <vt:lpwstr>（与国际标准一致性程度的标识）</vt:lpwstr>
  </property>
  <property fmtid="{D5CDD505-2E9C-101B-9397-08002B2CF9AE}" pid="16" name="WGLB">
    <vt:lpwstr>（不设文稿类别）</vt:lpwstr>
  </property>
  <property fmtid="{D5CDD505-2E9C-101B-9397-08002B2CF9AE}" pid="17" name="FBRQ">
    <vt:lpwstr>20XX—XX—XX</vt:lpwstr>
  </property>
  <property fmtid="{D5CDD505-2E9C-101B-9397-08002B2CF9AE}" pid="18" name="SSRQ">
    <vt:lpwstr>20XX—XX—XX</vt:lpwstr>
  </property>
  <property fmtid="{D5CDD505-2E9C-101B-9397-08002B2CF9AE}" pid="19" name="BZLX">
    <vt:lpwstr>Q/XXX</vt:lpwstr>
  </property>
  <property fmtid="{D5CDD505-2E9C-101B-9397-08002B2CF9AE}" pid="20" name="标准类型">
    <vt:lpwstr>QB</vt:lpwstr>
  </property>
  <property fmtid="{D5CDD505-2E9C-101B-9397-08002B2CF9AE}" pid="21" name="FBDW">
    <vt:lpwstr>广西壮族自治区大数据发展局</vt:lpwstr>
  </property>
  <property fmtid="{D5CDD505-2E9C-101B-9397-08002B2CF9AE}" pid="22" name="IMAGE">
    <vt:lpwstr/>
  </property>
</Properties>
</file>