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5"/>
      </w:pPr>
      <w:bookmarkStart w:id="0" w:name="标准内容"/>
      <w:bookmarkEnd w:id="0"/>
      <w:r>
        <w:rPr>
          <w:rFonts w:hint="eastAsia"/>
        </w:rPr>
        <w:t>“全链通办”基础任务清单办理流程标准</w:t>
      </w:r>
      <w:r>
        <w:rPr>
          <w:rFonts w:hint="eastAsia"/>
        </w:rPr>
        <w:br w:type="textWrapping"/>
      </w:r>
      <w:r>
        <w:rPr>
          <w:rFonts w:hint="eastAsia"/>
        </w:rPr>
        <w:t>第9部分：二手房交易及水电气联动过户</w:t>
      </w:r>
      <w:r>
        <w:rPr>
          <w:rFonts w:hint="eastAsia"/>
        </w:rPr>
        <w:br w:type="textWrapping"/>
      </w:r>
    </w:p>
    <w:p>
      <w:pPr>
        <w:pStyle w:val="259"/>
        <w:spacing w:before="312" w:after="312"/>
      </w:pPr>
      <w:bookmarkStart w:id="1" w:name="_Toc106812295"/>
      <w:bookmarkStart w:id="2" w:name="_Toc96693427"/>
      <w:bookmarkStart w:id="3" w:name="_Toc107056552"/>
      <w:bookmarkStart w:id="4" w:name="_Toc107056510"/>
      <w:bookmarkStart w:id="5" w:name="_Toc105493569"/>
      <w:r>
        <w:rPr>
          <w:rFonts w:hint="eastAsia"/>
        </w:rPr>
        <w:t>范围</w:t>
      </w:r>
      <w:bookmarkEnd w:id="1"/>
      <w:bookmarkEnd w:id="2"/>
      <w:bookmarkEnd w:id="3"/>
      <w:bookmarkEnd w:id="4"/>
      <w:bookmarkEnd w:id="5"/>
    </w:p>
    <w:p>
      <w:pPr>
        <w:pStyle w:val="258"/>
        <w:ind w:firstLine="420"/>
      </w:pPr>
      <w:r>
        <w:rPr>
          <w:rFonts w:hint="eastAsia"/>
        </w:rPr>
        <w:t>本文件规定了二手房交易及水电气联动过户“全链通办”的工作要求、事项范围、受理条件、申请材料、业务流程、办结时限、结果送达、评价与改进等内容。</w:t>
      </w:r>
    </w:p>
    <w:p>
      <w:pPr>
        <w:pStyle w:val="258"/>
        <w:ind w:firstLine="420"/>
      </w:pPr>
      <w:r>
        <w:rPr>
          <w:rFonts w:hint="eastAsia"/>
        </w:rPr>
        <w:t>本文件适用于广西壮族自治区行政区域内二手房交易及水电气联动过户“全链通办”服务工作。</w:t>
      </w:r>
    </w:p>
    <w:p>
      <w:pPr>
        <w:pStyle w:val="259"/>
        <w:spacing w:before="312" w:after="312"/>
      </w:pPr>
      <w:bookmarkStart w:id="6" w:name="_Toc107056553"/>
      <w:bookmarkStart w:id="7" w:name="_Toc96693428"/>
      <w:bookmarkStart w:id="8" w:name="_Toc107056511"/>
      <w:bookmarkStart w:id="9" w:name="_Toc105493570"/>
      <w:bookmarkStart w:id="10" w:name="_Toc106812296"/>
      <w:r>
        <w:rPr>
          <w:rFonts w:hint="eastAsia"/>
        </w:rPr>
        <w:t>规范性引用文件</w:t>
      </w:r>
      <w:bookmarkEnd w:id="6"/>
      <w:bookmarkEnd w:id="7"/>
      <w:bookmarkEnd w:id="8"/>
      <w:bookmarkEnd w:id="9"/>
      <w:bookmarkEnd w:id="10"/>
    </w:p>
    <w:p>
      <w:pPr>
        <w:pStyle w:val="258"/>
        <w:ind w:firstLine="420"/>
      </w:pPr>
      <w:r>
        <w:rPr>
          <w:rFonts w:hint="eastAsia"/>
        </w:rPr>
        <w:t>下列文件中的</w:t>
      </w:r>
      <w:r>
        <w:t>内容通过文中</w:t>
      </w:r>
      <w:r>
        <w:rPr>
          <w:rFonts w:hint="eastAsia"/>
        </w:rPr>
        <w:t>的</w:t>
      </w:r>
      <w:r>
        <w:t>规范性引用而构成本文件必不可少的条款。其中</w:t>
      </w:r>
      <w:r>
        <w:rPr>
          <w:rFonts w:hint="eastAsia"/>
        </w:rPr>
        <w:t>，</w:t>
      </w:r>
      <w:r>
        <w:t>注日期的引用文件，</w:t>
      </w:r>
      <w:r>
        <w:rPr>
          <w:rFonts w:hint="eastAsia"/>
        </w:rPr>
        <w:t>仅</w:t>
      </w:r>
      <w:r>
        <w:t>该日期对应的版本</w:t>
      </w:r>
      <w:r>
        <w:rPr>
          <w:rFonts w:hint="eastAsia"/>
        </w:rPr>
        <w:t>适用</w:t>
      </w:r>
      <w:r>
        <w:t>于本文件；不注日期的引用文件，其最新版本（</w:t>
      </w:r>
      <w:r>
        <w:rPr>
          <w:rFonts w:hint="eastAsia"/>
        </w:rPr>
        <w:t>包括</w:t>
      </w:r>
      <w:r>
        <w:t>所有的修改单）</w:t>
      </w:r>
      <w:r>
        <w:rPr>
          <w:rFonts w:hint="eastAsia"/>
        </w:rPr>
        <w:t>适用</w:t>
      </w:r>
      <w:r>
        <w:t>于本文件</w:t>
      </w:r>
      <w:r>
        <w:rPr>
          <w:rFonts w:hint="eastAsia"/>
        </w:rPr>
        <w:t>。</w:t>
      </w:r>
    </w:p>
    <w:p>
      <w:pPr>
        <w:pStyle w:val="258"/>
        <w:ind w:firstLine="420"/>
      </w:pPr>
      <w:r>
        <w:rPr>
          <w:rFonts w:hint="eastAsia"/>
        </w:rPr>
        <w:t>GB/T 39734-</w:t>
      </w:r>
      <w:r>
        <w:t xml:space="preserve">2020  </w:t>
      </w:r>
      <w:r>
        <w:rPr>
          <w:rFonts w:hint="eastAsia"/>
        </w:rPr>
        <w:t>政务服务“一次一评”“一事一评”工作规范</w:t>
      </w:r>
    </w:p>
    <w:p>
      <w:pPr>
        <w:pStyle w:val="258"/>
        <w:ind w:firstLine="420"/>
      </w:pPr>
      <w:r>
        <w:rPr>
          <w:rFonts w:hint="eastAsia"/>
        </w:rPr>
        <w:t>GB/T</w:t>
      </w:r>
      <w:r>
        <w:t xml:space="preserve"> </w:t>
      </w:r>
      <w:r>
        <w:rPr>
          <w:rFonts w:hint="eastAsia"/>
        </w:rPr>
        <w:t>39735-</w:t>
      </w:r>
      <w:r>
        <w:t xml:space="preserve">2020  </w:t>
      </w:r>
      <w:r>
        <w:rPr>
          <w:rFonts w:hint="eastAsia"/>
        </w:rPr>
        <w:t>政务服务评价工作指南</w:t>
      </w:r>
    </w:p>
    <w:p>
      <w:pPr>
        <w:pStyle w:val="258"/>
        <w:ind w:firstLine="420"/>
      </w:pPr>
      <w:r>
        <w:t>GB</w:t>
      </w:r>
      <w:r>
        <w:rPr>
          <w:rFonts w:hint="eastAsia"/>
        </w:rPr>
        <w:t>/</w:t>
      </w:r>
      <w:r>
        <w:t xml:space="preserve">T </w:t>
      </w:r>
      <w:r>
        <w:rPr>
          <w:rFonts w:hint="eastAsia"/>
        </w:rPr>
        <w:t>3</w:t>
      </w:r>
      <w:r>
        <w:t>2168</w:t>
      </w:r>
      <w:r>
        <w:rPr>
          <w:rFonts w:hint="eastAsia"/>
        </w:rPr>
        <w:t>-</w:t>
      </w:r>
      <w:r>
        <w:t xml:space="preserve">2015  </w:t>
      </w:r>
      <w:r>
        <w:rPr>
          <w:rFonts w:hint="eastAsia"/>
        </w:rPr>
        <w:t>政务服务中心网上服务规范</w:t>
      </w:r>
    </w:p>
    <w:p>
      <w:pPr>
        <w:pStyle w:val="259"/>
        <w:spacing w:before="312" w:after="312"/>
      </w:pPr>
      <w:bookmarkStart w:id="11" w:name="_Toc105493571"/>
      <w:bookmarkStart w:id="12" w:name="_Toc107056554"/>
      <w:bookmarkStart w:id="13" w:name="_Toc96693429"/>
      <w:bookmarkStart w:id="14" w:name="_Toc107056512"/>
      <w:bookmarkStart w:id="15" w:name="_Toc106812297"/>
      <w:r>
        <w:rPr>
          <w:rFonts w:hint="eastAsia"/>
        </w:rPr>
        <w:t>术语</w:t>
      </w:r>
      <w:r>
        <w:t>和定义</w:t>
      </w:r>
      <w:bookmarkEnd w:id="11"/>
      <w:bookmarkEnd w:id="12"/>
      <w:bookmarkEnd w:id="13"/>
      <w:bookmarkEnd w:id="14"/>
      <w:bookmarkEnd w:id="15"/>
    </w:p>
    <w:p>
      <w:pPr>
        <w:pStyle w:val="258"/>
        <w:ind w:firstLine="420"/>
      </w:pPr>
      <w:r>
        <w:rPr>
          <w:rFonts w:hint="eastAsia"/>
        </w:rPr>
        <w:t>下列术语和定义适用于本文件。</w:t>
      </w:r>
    </w:p>
    <w:p>
      <w:pPr>
        <w:pStyle w:val="323"/>
      </w:pPr>
      <w:r>
        <w:rPr>
          <w:rFonts w:hint="eastAsia"/>
        </w:rPr>
        <w:t>二手房交易及水电气联动过户“全链通办”服务</w:t>
      </w:r>
    </w:p>
    <w:p>
      <w:pPr>
        <w:pStyle w:val="258"/>
        <w:ind w:firstLine="420"/>
      </w:pPr>
      <w:r>
        <w:rPr>
          <w:rFonts w:hint="eastAsia"/>
        </w:rPr>
        <w:t>通过集成个人申请二手房交易及水电气联动过户关联性强、需求频率高的多个单一事项，将存量房（二手房）交易申报、国有建设用地使用权及房屋所有权转移登记（按户登记）、水电气联动过户等事项集成化办理，为在自治区申请二手房办理不动产交易及过户人员提供联办服务。</w:t>
      </w:r>
    </w:p>
    <w:p>
      <w:pPr>
        <w:pStyle w:val="259"/>
        <w:spacing w:before="312" w:after="312"/>
      </w:pPr>
      <w:bookmarkStart w:id="16" w:name="_Toc107056513"/>
      <w:bookmarkStart w:id="17" w:name="_Toc105493572"/>
      <w:bookmarkStart w:id="18" w:name="_Toc107056555"/>
      <w:bookmarkStart w:id="19" w:name="_Toc106812298"/>
      <w:r>
        <w:rPr>
          <w:rFonts w:hint="eastAsia"/>
        </w:rPr>
        <w:t>工作要求</w:t>
      </w:r>
      <w:bookmarkEnd w:id="16"/>
      <w:bookmarkEnd w:id="17"/>
      <w:bookmarkEnd w:id="18"/>
      <w:bookmarkEnd w:id="19"/>
    </w:p>
    <w:p>
      <w:pPr>
        <w:pStyle w:val="260"/>
        <w:spacing w:before="156" w:after="156"/>
      </w:pPr>
      <w:bookmarkStart w:id="20" w:name="_Toc105493573"/>
      <w:bookmarkStart w:id="21" w:name="_Toc107056514"/>
      <w:bookmarkStart w:id="22" w:name="_Toc106812299"/>
      <w:bookmarkStart w:id="23" w:name="_Toc107056556"/>
      <w:r>
        <w:rPr>
          <w:rFonts w:hint="eastAsia"/>
        </w:rPr>
        <w:t>机制建设</w:t>
      </w:r>
      <w:bookmarkEnd w:id="20"/>
      <w:bookmarkEnd w:id="21"/>
      <w:bookmarkEnd w:id="22"/>
      <w:bookmarkEnd w:id="23"/>
    </w:p>
    <w:p>
      <w:pPr>
        <w:pStyle w:val="261"/>
        <w:spacing w:before="156" w:after="156"/>
      </w:pPr>
      <w:bookmarkStart w:id="24" w:name="_Toc105493574"/>
      <w:r>
        <w:rPr>
          <w:rFonts w:hint="eastAsia"/>
        </w:rPr>
        <w:t>建立责任分工机制</w:t>
      </w:r>
      <w:bookmarkEnd w:id="24"/>
    </w:p>
    <w:p>
      <w:pPr>
        <w:pStyle w:val="258"/>
        <w:ind w:firstLine="420"/>
      </w:pPr>
      <w:r>
        <w:rPr>
          <w:rFonts w:hint="eastAsia"/>
        </w:rPr>
        <w:t>明确牵头单位、责任单位职责分工：</w:t>
      </w:r>
    </w:p>
    <w:p>
      <w:pPr>
        <w:pStyle w:val="305"/>
      </w:pPr>
      <w:r>
        <w:rPr>
          <w:rFonts w:hint="eastAsia"/>
        </w:rPr>
        <w:t>牵头单位：自然资源部门；</w:t>
      </w:r>
    </w:p>
    <w:p>
      <w:pPr>
        <w:pStyle w:val="305"/>
      </w:pPr>
      <w:r>
        <w:rPr>
          <w:rFonts w:hint="eastAsia"/>
        </w:rPr>
        <w:t>责任单位：住房城乡建设部门、税务部门、电网公司。</w:t>
      </w:r>
    </w:p>
    <w:p>
      <w:pPr>
        <w:pStyle w:val="261"/>
        <w:spacing w:before="156" w:after="156"/>
      </w:pPr>
      <w:bookmarkStart w:id="25" w:name="_Toc105493575"/>
      <w:r>
        <w:rPr>
          <w:rFonts w:hint="eastAsia"/>
        </w:rPr>
        <w:t>建立数据交换机制</w:t>
      </w:r>
      <w:bookmarkEnd w:id="25"/>
    </w:p>
    <w:p>
      <w:pPr>
        <w:pStyle w:val="258"/>
        <w:ind w:firstLine="420"/>
      </w:pPr>
      <w:r>
        <w:rPr>
          <w:rFonts w:hint="eastAsia"/>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61"/>
        <w:spacing w:before="156" w:after="156"/>
      </w:pPr>
      <w:bookmarkStart w:id="26" w:name="_Toc105493576"/>
      <w:r>
        <w:rPr>
          <w:rFonts w:hint="eastAsia"/>
        </w:rPr>
        <w:t>建立监督反馈机制</w:t>
      </w:r>
      <w:bookmarkEnd w:id="26"/>
    </w:p>
    <w:p>
      <w:pPr>
        <w:pStyle w:val="258"/>
        <w:ind w:firstLine="420"/>
      </w:pPr>
      <w:r>
        <w:rPr>
          <w:rFonts w:hint="eastAsia"/>
        </w:rPr>
        <w:t>牵头单位会同责任单位依托广西数字政务一体化平台、广西政务A</w:t>
      </w:r>
      <w:r>
        <w:t>PP</w:t>
      </w:r>
      <w:r>
        <w:rPr>
          <w:rFonts w:hint="eastAsia"/>
        </w:rPr>
        <w:t>、政务服务大厅“一窗受理”综合窗口等，根据二手房交易及水电气联动过户“全链通办”服务涉及事项环节区分，对业务流程不同环节进行跟踪反馈。</w:t>
      </w:r>
    </w:p>
    <w:p>
      <w:pPr>
        <w:pStyle w:val="260"/>
        <w:spacing w:before="156" w:after="156"/>
      </w:pPr>
      <w:bookmarkStart w:id="27" w:name="_Toc107056515"/>
      <w:bookmarkStart w:id="28" w:name="_Toc106812300"/>
      <w:bookmarkStart w:id="29" w:name="_Toc107056557"/>
      <w:bookmarkStart w:id="30" w:name="_Toc105493577"/>
      <w:r>
        <w:rPr>
          <w:rFonts w:hint="eastAsia"/>
        </w:rPr>
        <w:t>工作职责</w:t>
      </w:r>
      <w:bookmarkEnd w:id="27"/>
      <w:bookmarkEnd w:id="28"/>
      <w:bookmarkEnd w:id="29"/>
      <w:bookmarkEnd w:id="30"/>
    </w:p>
    <w:p>
      <w:pPr>
        <w:pStyle w:val="261"/>
        <w:spacing w:before="156" w:after="156"/>
      </w:pPr>
      <w:bookmarkStart w:id="31" w:name="_Toc105493579"/>
      <w:r>
        <w:rPr>
          <w:rFonts w:hint="eastAsia"/>
        </w:rPr>
        <w:t>牵头单位</w:t>
      </w:r>
      <w:bookmarkEnd w:id="31"/>
    </w:p>
    <w:p>
      <w:pPr>
        <w:pStyle w:val="258"/>
        <w:ind w:firstLine="420"/>
      </w:pPr>
      <w:r>
        <w:rPr>
          <w:rFonts w:hint="eastAsia"/>
        </w:rPr>
        <w:t>二手房交易及水电气联动过户“全链通办”牵头单位为自然资源部门，主要工作职责如下：</w:t>
      </w:r>
    </w:p>
    <w:p>
      <w:pPr>
        <w:pStyle w:val="305"/>
        <w:numPr>
          <w:ilvl w:val="0"/>
          <w:numId w:val="28"/>
        </w:numPr>
      </w:pPr>
      <w:r>
        <w:rPr>
          <w:rFonts w:hint="eastAsia"/>
        </w:rPr>
        <w:t>做好二手房交易及水电气联动过户“全链通办”本部门事项涉及业务系统、申请材料与广西数字政务一体化平台、广西政务APP等平台的对接，实现信息流转、数据共享；</w:t>
      </w:r>
    </w:p>
    <w:p>
      <w:pPr>
        <w:pStyle w:val="305"/>
        <w:numPr>
          <w:ilvl w:val="0"/>
          <w:numId w:val="28"/>
        </w:numPr>
      </w:pPr>
      <w:r>
        <w:rPr>
          <w:rFonts w:hint="eastAsia"/>
        </w:rPr>
        <w:t>联合责任单位依托政务服务大厅“一窗受理”综合窗口开展二手房交易及水电气联动过户“全链通办”政策解读和宣传引导；</w:t>
      </w:r>
    </w:p>
    <w:p>
      <w:pPr>
        <w:pStyle w:val="305"/>
        <w:numPr>
          <w:ilvl w:val="0"/>
          <w:numId w:val="28"/>
        </w:numPr>
      </w:pPr>
      <w:r>
        <w:rPr>
          <w:rFonts w:hint="eastAsia"/>
        </w:rPr>
        <w:t>对申请表及申请材料进行审核、受理、录入、推送，办理国有建设用地使用权及房屋所有权转移登记（按户登记）；</w:t>
      </w:r>
    </w:p>
    <w:p>
      <w:pPr>
        <w:pStyle w:val="305"/>
        <w:numPr>
          <w:ilvl w:val="0"/>
          <w:numId w:val="28"/>
        </w:numPr>
      </w:pPr>
      <w:r>
        <w:rPr>
          <w:rFonts w:hint="eastAsia"/>
        </w:rPr>
        <w:t>联合责任单位跟踪、协调、处理二手房交易及水电气联动过户“全链通办”办理过程中出现的问题，确保通办顺畅完成。</w:t>
      </w:r>
    </w:p>
    <w:p>
      <w:pPr>
        <w:pStyle w:val="261"/>
        <w:spacing w:before="156" w:after="156"/>
      </w:pPr>
      <w:bookmarkStart w:id="32" w:name="_Toc105493580"/>
      <w:r>
        <w:rPr>
          <w:rFonts w:hint="eastAsia"/>
        </w:rPr>
        <w:t>责任单位</w:t>
      </w:r>
      <w:bookmarkEnd w:id="32"/>
    </w:p>
    <w:p>
      <w:pPr>
        <w:pStyle w:val="290"/>
        <w:spacing w:before="156" w:after="156"/>
      </w:pPr>
      <w:r>
        <w:rPr>
          <w:rFonts w:hint="eastAsia"/>
        </w:rPr>
        <w:t>住房城乡建设部门</w:t>
      </w:r>
    </w:p>
    <w:p>
      <w:pPr>
        <w:pStyle w:val="258"/>
        <w:ind w:firstLine="420"/>
      </w:pPr>
      <w:r>
        <w:rPr>
          <w:rFonts w:hint="eastAsia"/>
        </w:rPr>
        <w:t>主要工作职责如下：</w:t>
      </w:r>
    </w:p>
    <w:p>
      <w:pPr>
        <w:pStyle w:val="305"/>
        <w:numPr>
          <w:ilvl w:val="0"/>
          <w:numId w:val="29"/>
        </w:numPr>
      </w:pPr>
      <w:r>
        <w:rPr>
          <w:rFonts w:hint="eastAsia"/>
        </w:rPr>
        <w:t>做好二手房交易及水电气联动过户“全链通办”本部门事项涉及业务系统、申请材料与广西数字政务一体化平台、广西政务APP等平台的对接，实现信息流转、数据共享；</w:t>
      </w:r>
    </w:p>
    <w:p>
      <w:pPr>
        <w:pStyle w:val="305"/>
        <w:numPr>
          <w:ilvl w:val="0"/>
          <w:numId w:val="29"/>
        </w:numPr>
      </w:pPr>
      <w:r>
        <w:rPr>
          <w:rFonts w:hint="eastAsia"/>
        </w:rPr>
        <w:t>协同牵头单位依托政务服务大厅“一窗受理”综合窗口开展二手房交易及水电气联动过户“全链通办”政策解读和宣传引导；</w:t>
      </w:r>
    </w:p>
    <w:p>
      <w:pPr>
        <w:pStyle w:val="305"/>
        <w:numPr>
          <w:ilvl w:val="0"/>
          <w:numId w:val="29"/>
        </w:numPr>
      </w:pPr>
      <w:r>
        <w:rPr>
          <w:rFonts w:hint="eastAsia"/>
        </w:rPr>
        <w:t>负责查收、核实推送的申请材料，办理水表过户、天然气过户；</w:t>
      </w:r>
    </w:p>
    <w:p>
      <w:pPr>
        <w:pStyle w:val="305"/>
        <w:numPr>
          <w:ilvl w:val="0"/>
          <w:numId w:val="29"/>
        </w:numPr>
      </w:pPr>
      <w:r>
        <w:rPr>
          <w:rFonts w:hint="eastAsia"/>
        </w:rPr>
        <w:t>协同其他责任单位跟踪、协调、处理二手房交易及水电气联动过户“全链通办”办理过程中出现的问题，确保通办顺畅完成。</w:t>
      </w:r>
    </w:p>
    <w:p>
      <w:pPr>
        <w:pStyle w:val="290"/>
        <w:spacing w:before="156" w:after="156"/>
      </w:pPr>
      <w:r>
        <w:rPr>
          <w:rFonts w:hint="eastAsia"/>
        </w:rPr>
        <w:t>税务部门</w:t>
      </w:r>
    </w:p>
    <w:p>
      <w:pPr>
        <w:pStyle w:val="258"/>
        <w:ind w:firstLine="420"/>
      </w:pPr>
      <w:r>
        <w:rPr>
          <w:rFonts w:hint="eastAsia"/>
        </w:rPr>
        <w:t>主要工作职责如下：</w:t>
      </w:r>
    </w:p>
    <w:p>
      <w:pPr>
        <w:pStyle w:val="258"/>
        <w:ind w:firstLine="420"/>
      </w:pPr>
      <w:r>
        <w:rPr>
          <w:rFonts w:hint="eastAsia"/>
        </w:rPr>
        <w:t>a)</w:t>
      </w:r>
      <w:r>
        <w:rPr>
          <w:rFonts w:hint="eastAsia"/>
        </w:rPr>
        <w:tab/>
      </w:r>
      <w:r>
        <w:rPr>
          <w:rFonts w:hint="eastAsia"/>
        </w:rPr>
        <w:t>做好二手房交易及水电气联动过户“全链通办”本部门事项涉及业务系统、申请材料与广西数字政务一体化平台、广西政务APP等平台的对接，实现信息流转、数据共享；</w:t>
      </w:r>
    </w:p>
    <w:p>
      <w:pPr>
        <w:pStyle w:val="258"/>
        <w:ind w:firstLine="420"/>
      </w:pPr>
      <w:r>
        <w:rPr>
          <w:rFonts w:hint="eastAsia"/>
        </w:rPr>
        <w:t>b)</w:t>
      </w:r>
      <w:r>
        <w:rPr>
          <w:rFonts w:hint="eastAsia"/>
        </w:rPr>
        <w:tab/>
      </w:r>
      <w:r>
        <w:rPr>
          <w:rFonts w:hint="eastAsia"/>
        </w:rPr>
        <w:t>协同牵头单位依托政务服务大厅“一窗受理”综合窗口开展二手房交易及水电气联动过户“全链通办”政策解读和宣传引导；</w:t>
      </w:r>
    </w:p>
    <w:p>
      <w:pPr>
        <w:pStyle w:val="258"/>
        <w:ind w:firstLine="420"/>
      </w:pPr>
      <w:r>
        <w:rPr>
          <w:rFonts w:hint="eastAsia"/>
        </w:rPr>
        <w:t>c)</w:t>
      </w:r>
      <w:r>
        <w:rPr>
          <w:rFonts w:hint="eastAsia"/>
        </w:rPr>
        <w:tab/>
      </w:r>
      <w:r>
        <w:rPr>
          <w:rFonts w:hint="eastAsia"/>
        </w:rPr>
        <w:t>负责查收、核实推送的申请材料，办理存量房（二手房）交易申报；</w:t>
      </w:r>
    </w:p>
    <w:p>
      <w:pPr>
        <w:pStyle w:val="258"/>
        <w:ind w:firstLine="420"/>
      </w:pPr>
      <w:r>
        <w:rPr>
          <w:rFonts w:hint="eastAsia"/>
        </w:rPr>
        <w:t>d)</w:t>
      </w:r>
      <w:r>
        <w:rPr>
          <w:rFonts w:hint="eastAsia"/>
        </w:rPr>
        <w:tab/>
      </w:r>
      <w:r>
        <w:rPr>
          <w:rFonts w:hint="eastAsia"/>
        </w:rPr>
        <w:t>协同其他责任单位跟踪、协调、处理二手房交易及水电气联动过户“全链通办”办理过程中出现的问题，确保通办顺畅完成。</w:t>
      </w:r>
    </w:p>
    <w:p>
      <w:pPr>
        <w:pStyle w:val="290"/>
        <w:spacing w:before="156" w:after="156"/>
      </w:pPr>
      <w:r>
        <w:rPr>
          <w:rFonts w:hint="eastAsia"/>
        </w:rPr>
        <w:t>电网公司</w:t>
      </w:r>
    </w:p>
    <w:p>
      <w:pPr>
        <w:pStyle w:val="258"/>
        <w:ind w:firstLine="420"/>
      </w:pPr>
      <w:r>
        <w:rPr>
          <w:rFonts w:hint="eastAsia"/>
        </w:rPr>
        <w:t>主要工作职责如下：</w:t>
      </w:r>
    </w:p>
    <w:p>
      <w:pPr>
        <w:pStyle w:val="258"/>
        <w:ind w:firstLine="420"/>
      </w:pPr>
      <w:r>
        <w:rPr>
          <w:rFonts w:hint="eastAsia"/>
        </w:rPr>
        <w:t>a)</w:t>
      </w:r>
      <w:r>
        <w:rPr>
          <w:rFonts w:hint="eastAsia"/>
        </w:rPr>
        <w:tab/>
      </w:r>
      <w:r>
        <w:rPr>
          <w:rFonts w:hint="eastAsia"/>
        </w:rPr>
        <w:t>做好二手房交易及水电气联动过户“全链通办”本部门事项涉及业务系统、申请材料与广西数字政务一体化平台、广西政务APP等平台的对接，实现信息流转、数据共享；</w:t>
      </w:r>
    </w:p>
    <w:p>
      <w:pPr>
        <w:pStyle w:val="258"/>
        <w:ind w:firstLine="420"/>
      </w:pPr>
      <w:r>
        <w:rPr>
          <w:rFonts w:hint="eastAsia"/>
        </w:rPr>
        <w:t>b)</w:t>
      </w:r>
      <w:r>
        <w:rPr>
          <w:rFonts w:hint="eastAsia"/>
        </w:rPr>
        <w:tab/>
      </w:r>
      <w:r>
        <w:rPr>
          <w:rFonts w:hint="eastAsia"/>
        </w:rPr>
        <w:t>协同牵头单位依托政务服务大厅“一窗受理”综合窗口开展二手房交易及水电气联动过户“全链通办”政策解读和宣传引导；</w:t>
      </w:r>
    </w:p>
    <w:p>
      <w:pPr>
        <w:pStyle w:val="258"/>
        <w:ind w:firstLine="420"/>
      </w:pPr>
      <w:r>
        <w:rPr>
          <w:rFonts w:hint="eastAsia"/>
        </w:rPr>
        <w:t>c)</w:t>
      </w:r>
      <w:r>
        <w:rPr>
          <w:rFonts w:hint="eastAsia"/>
        </w:rPr>
        <w:tab/>
      </w:r>
      <w:r>
        <w:rPr>
          <w:rFonts w:hint="eastAsia"/>
        </w:rPr>
        <w:t>负责查收、核实推送的申请材料，办理电表过户；</w:t>
      </w:r>
    </w:p>
    <w:p>
      <w:pPr>
        <w:pStyle w:val="258"/>
        <w:ind w:firstLine="420"/>
      </w:pPr>
      <w:r>
        <w:rPr>
          <w:rFonts w:hint="eastAsia"/>
        </w:rPr>
        <w:t>d)</w:t>
      </w:r>
      <w:r>
        <w:rPr>
          <w:rFonts w:hint="eastAsia"/>
        </w:rPr>
        <w:tab/>
      </w:r>
      <w:r>
        <w:rPr>
          <w:rFonts w:hint="eastAsia"/>
        </w:rPr>
        <w:t>协同其他责任单位跟踪、协调、处理二手房交易及水电气联动过户“全链通办”办理过程中出现的问题，确保通办顺畅完成。</w:t>
      </w:r>
    </w:p>
    <w:p>
      <w:pPr>
        <w:pStyle w:val="259"/>
        <w:spacing w:before="312" w:after="312"/>
      </w:pPr>
      <w:bookmarkStart w:id="33" w:name="_Toc106812301"/>
      <w:bookmarkStart w:id="34" w:name="_Toc105493581"/>
      <w:bookmarkStart w:id="35" w:name="_Toc107056558"/>
      <w:bookmarkStart w:id="36" w:name="_Toc107056516"/>
      <w:r>
        <w:rPr>
          <w:rFonts w:hint="eastAsia"/>
        </w:rPr>
        <w:t>事项范围</w:t>
      </w:r>
      <w:bookmarkEnd w:id="33"/>
      <w:bookmarkEnd w:id="34"/>
      <w:bookmarkEnd w:id="35"/>
      <w:bookmarkEnd w:id="36"/>
    </w:p>
    <w:p>
      <w:pPr>
        <w:pStyle w:val="258"/>
        <w:ind w:firstLine="420"/>
      </w:pPr>
      <w:r>
        <w:rPr>
          <w:rFonts w:hint="eastAsia"/>
        </w:rPr>
        <w:t>二手房交易及水电气联动过户“全链通办”服务联办事项包含以下联办事项，并实行动态管理，及时更新调整内容：</w:t>
      </w:r>
    </w:p>
    <w:p>
      <w:pPr>
        <w:pStyle w:val="305"/>
        <w:numPr>
          <w:ilvl w:val="0"/>
          <w:numId w:val="30"/>
        </w:numPr>
      </w:pPr>
      <w:r>
        <w:rPr>
          <w:rFonts w:hint="eastAsia"/>
        </w:rPr>
        <w:t>存量房（二手房）交易申报；</w:t>
      </w:r>
    </w:p>
    <w:p>
      <w:pPr>
        <w:pStyle w:val="305"/>
        <w:numPr>
          <w:ilvl w:val="0"/>
          <w:numId w:val="30"/>
        </w:numPr>
      </w:pPr>
      <w:r>
        <w:rPr>
          <w:rFonts w:hint="eastAsia"/>
        </w:rPr>
        <w:t>国有建设用地使用权及房屋所有权转移登记（按户登记）；</w:t>
      </w:r>
    </w:p>
    <w:p>
      <w:pPr>
        <w:pStyle w:val="305"/>
        <w:numPr>
          <w:ilvl w:val="0"/>
          <w:numId w:val="30"/>
        </w:numPr>
      </w:pPr>
      <w:r>
        <w:rPr>
          <w:rFonts w:hint="eastAsia"/>
        </w:rPr>
        <w:t>电表过户；</w:t>
      </w:r>
    </w:p>
    <w:p>
      <w:pPr>
        <w:pStyle w:val="305"/>
        <w:numPr>
          <w:ilvl w:val="0"/>
          <w:numId w:val="30"/>
        </w:numPr>
      </w:pPr>
      <w:r>
        <w:rPr>
          <w:rFonts w:hint="eastAsia"/>
        </w:rPr>
        <w:t>水表过户；</w:t>
      </w:r>
    </w:p>
    <w:p>
      <w:pPr>
        <w:pStyle w:val="305"/>
        <w:numPr>
          <w:ilvl w:val="0"/>
          <w:numId w:val="30"/>
        </w:numPr>
      </w:pPr>
      <w:r>
        <w:rPr>
          <w:rFonts w:hint="eastAsia"/>
        </w:rPr>
        <w:t>天然气过户。</w:t>
      </w:r>
    </w:p>
    <w:p>
      <w:pPr>
        <w:pStyle w:val="259"/>
        <w:spacing w:before="312" w:after="312"/>
      </w:pPr>
      <w:bookmarkStart w:id="37" w:name="_Toc107056517"/>
      <w:bookmarkStart w:id="38" w:name="_Toc105493582"/>
      <w:bookmarkStart w:id="39" w:name="_Toc106812302"/>
      <w:bookmarkStart w:id="40" w:name="_Toc107056559"/>
      <w:r>
        <w:rPr>
          <w:rFonts w:hint="eastAsia"/>
        </w:rPr>
        <w:t>受理条件</w:t>
      </w:r>
      <w:bookmarkEnd w:id="37"/>
      <w:bookmarkEnd w:id="38"/>
      <w:bookmarkEnd w:id="39"/>
      <w:bookmarkEnd w:id="40"/>
    </w:p>
    <w:p>
      <w:pPr>
        <w:pStyle w:val="258"/>
        <w:ind w:firstLine="420"/>
      </w:pPr>
      <w:r>
        <w:rPr>
          <w:rFonts w:hint="eastAsia"/>
        </w:rPr>
        <w:t>申请人应满足以下条件：</w:t>
      </w:r>
    </w:p>
    <w:p>
      <w:pPr>
        <w:pStyle w:val="305"/>
        <w:numPr>
          <w:ilvl w:val="0"/>
          <w:numId w:val="31"/>
        </w:numPr>
      </w:pPr>
      <w:r>
        <w:rPr>
          <w:rFonts w:hint="eastAsia"/>
        </w:rPr>
        <w:t>申请登记的不动产在自治区范围内；</w:t>
      </w:r>
    </w:p>
    <w:p>
      <w:pPr>
        <w:pStyle w:val="305"/>
        <w:numPr>
          <w:ilvl w:val="0"/>
          <w:numId w:val="31"/>
        </w:numPr>
      </w:pPr>
      <w:r>
        <w:rPr>
          <w:rFonts w:hint="eastAsia"/>
        </w:rPr>
        <w:t>权属转移的受让方为个人；</w:t>
      </w:r>
    </w:p>
    <w:p>
      <w:pPr>
        <w:pStyle w:val="305"/>
        <w:numPr>
          <w:ilvl w:val="0"/>
          <w:numId w:val="31"/>
        </w:numPr>
      </w:pPr>
      <w:r>
        <w:rPr>
          <w:rFonts w:hint="eastAsia"/>
        </w:rPr>
        <w:t>已签订不动产买卖合同。</w:t>
      </w:r>
    </w:p>
    <w:p>
      <w:pPr>
        <w:pStyle w:val="259"/>
        <w:spacing w:before="312" w:after="312"/>
      </w:pPr>
      <w:bookmarkStart w:id="41" w:name="_Toc107056518"/>
      <w:bookmarkStart w:id="42" w:name="_Toc107056560"/>
      <w:bookmarkStart w:id="43" w:name="_Toc106812303"/>
      <w:bookmarkStart w:id="44" w:name="_Toc105493583"/>
      <w:r>
        <w:rPr>
          <w:rFonts w:hint="eastAsia"/>
        </w:rPr>
        <w:t>申请材料</w:t>
      </w:r>
      <w:bookmarkEnd w:id="41"/>
      <w:bookmarkEnd w:id="42"/>
      <w:bookmarkEnd w:id="43"/>
      <w:bookmarkEnd w:id="44"/>
    </w:p>
    <w:p>
      <w:pPr>
        <w:pStyle w:val="258"/>
        <w:ind w:firstLine="420"/>
      </w:pPr>
      <w:r>
        <w:rPr>
          <w:rFonts w:hint="eastAsia"/>
        </w:rPr>
        <w:t>申请人应提交以下材料：</w:t>
      </w:r>
    </w:p>
    <w:p>
      <w:pPr>
        <w:pStyle w:val="305"/>
        <w:numPr>
          <w:ilvl w:val="0"/>
          <w:numId w:val="32"/>
        </w:numPr>
      </w:pPr>
      <w:r>
        <w:rPr>
          <w:rFonts w:hint="eastAsia"/>
        </w:rPr>
        <w:t>二手房交易及水电气联动过户“全链通办”申请表（详见附录B）；</w:t>
      </w:r>
    </w:p>
    <w:p>
      <w:pPr>
        <w:pStyle w:val="305"/>
        <w:numPr>
          <w:ilvl w:val="0"/>
          <w:numId w:val="32"/>
        </w:numPr>
      </w:pPr>
      <w:r>
        <w:rPr>
          <w:rFonts w:hint="eastAsia"/>
        </w:rPr>
        <w:t>不动产买卖合同；</w:t>
      </w:r>
    </w:p>
    <w:p>
      <w:pPr>
        <w:pStyle w:val="305"/>
        <w:numPr>
          <w:ilvl w:val="0"/>
          <w:numId w:val="32"/>
        </w:numPr>
      </w:pPr>
      <w:r>
        <w:rPr>
          <w:rFonts w:hint="eastAsia"/>
        </w:rPr>
        <w:t>交易双方身份证；</w:t>
      </w:r>
    </w:p>
    <w:p>
      <w:pPr>
        <w:pStyle w:val="305"/>
        <w:numPr>
          <w:ilvl w:val="0"/>
          <w:numId w:val="32"/>
        </w:numPr>
      </w:pPr>
      <w:r>
        <w:rPr>
          <w:rFonts w:hint="eastAsia"/>
        </w:rPr>
        <w:t>不动产权属证书（国有土地使用权证或房屋所有权证、房屋共有权证等）；</w:t>
      </w:r>
    </w:p>
    <w:p>
      <w:pPr>
        <w:pStyle w:val="305"/>
        <w:numPr>
          <w:ilvl w:val="0"/>
          <w:numId w:val="32"/>
        </w:numPr>
      </w:pPr>
      <w:r>
        <w:rPr>
          <w:rFonts w:hint="eastAsia"/>
        </w:rPr>
        <w:t>已经办理预告登记的，提供不动产登记证明；</w:t>
      </w:r>
    </w:p>
    <w:p>
      <w:pPr>
        <w:pStyle w:val="305"/>
      </w:pPr>
      <w:r>
        <w:rPr>
          <w:rFonts w:hint="eastAsia"/>
        </w:rPr>
        <w:t>划拨国有建设用地使用权及房屋所有权转移的，还应提供土地出让价款缴纳凭证、税费缴纳凭证；</w:t>
      </w:r>
    </w:p>
    <w:p>
      <w:pPr>
        <w:pStyle w:val="305"/>
      </w:pPr>
      <w:r>
        <w:rPr>
          <w:rFonts w:hint="eastAsia" w:ascii="Times New Roman"/>
        </w:rPr>
        <w:t>依法需要补交土地出让价款、缴纳税费的，应当提交</w:t>
      </w:r>
      <w:r>
        <w:rPr>
          <w:rFonts w:hint="eastAsia"/>
        </w:rPr>
        <w:t>土地出让价款缴纳凭证、</w:t>
      </w:r>
      <w:r>
        <w:rPr>
          <w:rFonts w:hint="eastAsia" w:ascii="Times New Roman"/>
        </w:rPr>
        <w:t>税费缴纳凭证</w:t>
      </w:r>
      <w:r>
        <w:rPr>
          <w:rFonts w:hint="eastAsia"/>
        </w:rPr>
        <w:t>；</w:t>
      </w:r>
    </w:p>
    <w:p>
      <w:pPr>
        <w:pStyle w:val="305"/>
      </w:pPr>
      <w:r>
        <w:rPr>
          <w:rFonts w:hint="eastAsia"/>
        </w:rPr>
        <w:t>近期水、电费清缴或通知单；</w:t>
      </w:r>
    </w:p>
    <w:p>
      <w:pPr>
        <w:pStyle w:val="305"/>
      </w:pPr>
      <w:r>
        <w:rPr>
          <w:rFonts w:hint="eastAsia"/>
        </w:rPr>
        <w:t>燃气公司根据业务要求的缴费证明等材料；</w:t>
      </w:r>
    </w:p>
    <w:p>
      <w:pPr>
        <w:numPr>
          <w:ilvl w:val="0"/>
          <w:numId w:val="32"/>
        </w:numPr>
        <w:tabs>
          <w:tab w:val="left" w:pos="840"/>
        </w:tabs>
        <w:rPr>
          <w:rFonts w:ascii="宋体"/>
        </w:rPr>
      </w:pPr>
      <w:r>
        <w:rPr>
          <w:rFonts w:hint="eastAsia" w:ascii="宋体"/>
        </w:rPr>
        <w:t>申请委托他人代办的，应提交授权委托书以及受托人身份证明；</w:t>
      </w:r>
    </w:p>
    <w:p>
      <w:pPr>
        <w:pStyle w:val="305"/>
      </w:pPr>
      <w:r>
        <w:rPr>
          <w:rFonts w:hint="eastAsia"/>
        </w:rPr>
        <w:t>有以下情形的，还应提供相应材料：</w:t>
      </w:r>
    </w:p>
    <w:p>
      <w:pPr>
        <w:pStyle w:val="285"/>
        <w:ind w:left="840" w:hanging="420"/>
      </w:pPr>
      <w:r>
        <w:rPr>
          <w:rFonts w:hint="eastAsia"/>
        </w:rPr>
        <w:t>因人民法院、仲裁委员会的生效法律文书或者监查机关出具的监察文书等因素发生土地、房屋权属转移的应报送生效法律文书或监察文书等原件；</w:t>
      </w:r>
    </w:p>
    <w:p>
      <w:pPr>
        <w:pStyle w:val="285"/>
        <w:ind w:left="840" w:hanging="420"/>
      </w:pPr>
      <w:r>
        <w:rPr>
          <w:rFonts w:hint="eastAsia"/>
        </w:rPr>
        <w:t>申请享受家庭唯一住房或家庭第二套改善性住房税收优惠政策的纳税人，还应报送家庭住房情况书面查询结果原件。纳税人可以自主选择是否对家庭住房情况书面查询结果适用告知承诺制办理，选择适用告知承诺制办理的，报送相应的《税务证明事项告知承诺书》，并对承诺的真实性承担法律责任；出生医学证明、户口簿、结婚证（已婚的提供）等家庭成员信息证明原件。纳税人可以自主选择是否对家庭成员信息证明适用告知承诺制办理，选择适用告知承诺制办理的，报送相应的《税务证明事项告知承诺书》，并对承诺的真实性承担法律责任；</w:t>
      </w:r>
    </w:p>
    <w:p>
      <w:pPr>
        <w:pStyle w:val="285"/>
        <w:ind w:left="840" w:hanging="420"/>
      </w:pPr>
    </w:p>
    <w:p>
      <w:pPr>
        <w:pStyle w:val="285"/>
        <w:ind w:left="840" w:hanging="420"/>
      </w:pPr>
      <w:r>
        <w:rPr>
          <w:rFonts w:hint="eastAsia"/>
        </w:rPr>
        <w:t>城镇职工第一次购买经县级以上人民政府批准出售的本单位公有住房（不包括商品房）或者无房且未能参加房改享受国家房改优惠政策而首次参加所在单位集资建房的，还应报送政府主管部门出具的购买公有住房或集资建房证明材料原件；</w:t>
      </w:r>
    </w:p>
    <w:p>
      <w:pPr>
        <w:pStyle w:val="285"/>
        <w:ind w:left="840" w:hanging="420"/>
      </w:pPr>
      <w:r>
        <w:rPr>
          <w:rFonts w:hint="eastAsia"/>
        </w:rPr>
        <w:t>适用分税种计算征收还应报送转让方原取得房产的合法票据、支付装修费用、贷款利息明细及其他费用发票或其他有效凭证、取得房产时缴纳的相关税费完税凭证原件。</w:t>
      </w:r>
    </w:p>
    <w:p>
      <w:pPr>
        <w:pStyle w:val="303"/>
      </w:pPr>
      <w:r>
        <w:rPr>
          <w:rFonts w:hint="eastAsia"/>
        </w:rPr>
        <w:t>上述材料实现数据共享核验后，不再要求申请人提交。</w:t>
      </w:r>
    </w:p>
    <w:p>
      <w:pPr>
        <w:pStyle w:val="259"/>
        <w:spacing w:before="312" w:after="312"/>
      </w:pPr>
      <w:bookmarkStart w:id="45" w:name="_Toc107056519"/>
      <w:bookmarkStart w:id="46" w:name="_Toc106812306"/>
      <w:bookmarkStart w:id="47" w:name="_Toc107056561"/>
      <w:r>
        <w:rPr>
          <w:rFonts w:hint="eastAsia"/>
        </w:rPr>
        <w:t>业务流程</w:t>
      </w:r>
      <w:bookmarkEnd w:id="45"/>
      <w:bookmarkEnd w:id="46"/>
      <w:bookmarkEnd w:id="47"/>
    </w:p>
    <w:p>
      <w:pPr>
        <w:pStyle w:val="260"/>
        <w:spacing w:before="156" w:after="156"/>
      </w:pPr>
      <w:bookmarkStart w:id="48" w:name="_Toc106812307"/>
      <w:bookmarkStart w:id="49" w:name="_Toc107056520"/>
      <w:bookmarkStart w:id="50" w:name="_Toc107056562"/>
      <w:r>
        <w:rPr>
          <w:rFonts w:hint="eastAsia"/>
        </w:rPr>
        <w:t>提出申请</w:t>
      </w:r>
      <w:bookmarkEnd w:id="48"/>
      <w:bookmarkEnd w:id="49"/>
      <w:bookmarkEnd w:id="50"/>
    </w:p>
    <w:p>
      <w:pPr>
        <w:pStyle w:val="261"/>
        <w:spacing w:before="156" w:after="156"/>
      </w:pPr>
      <w:r>
        <w:rPr>
          <w:rFonts w:hint="eastAsia"/>
        </w:rPr>
        <w:t>线上申请</w:t>
      </w:r>
    </w:p>
    <w:p>
      <w:pPr>
        <w:pStyle w:val="258"/>
        <w:ind w:firstLine="420"/>
      </w:pPr>
      <w:r>
        <w:rPr>
          <w:rFonts w:hint="eastAsia"/>
        </w:rPr>
        <w:t>申请人在广西数字政务一体化平台、广西政务A</w:t>
      </w:r>
      <w:r>
        <w:t>PP</w:t>
      </w:r>
      <w:r>
        <w:rPr>
          <w:rFonts w:hint="eastAsia"/>
        </w:rPr>
        <w:t>等平台在线提交二手房交易及水电气联动过户“全链通办”申请表及申请材料。</w:t>
      </w:r>
    </w:p>
    <w:p>
      <w:pPr>
        <w:pStyle w:val="261"/>
        <w:spacing w:before="156" w:after="156"/>
      </w:pPr>
      <w:bookmarkStart w:id="51" w:name="_Toc105493586"/>
      <w:r>
        <w:rPr>
          <w:rFonts w:hint="eastAsia"/>
        </w:rPr>
        <w:t>线下</w:t>
      </w:r>
      <w:bookmarkEnd w:id="51"/>
      <w:r>
        <w:rPr>
          <w:rFonts w:hint="eastAsia"/>
        </w:rPr>
        <w:t>申请</w:t>
      </w:r>
    </w:p>
    <w:p>
      <w:pPr>
        <w:pStyle w:val="258"/>
        <w:ind w:firstLine="420"/>
      </w:pPr>
      <w:r>
        <w:rPr>
          <w:rFonts w:hint="eastAsia"/>
        </w:rPr>
        <w:t>申请人在政务服务大厅“一窗受理”综合窗口提出申请，提交二手房交易及水电气联动过户“全链通办”申请表及申请材料。</w:t>
      </w:r>
    </w:p>
    <w:p>
      <w:pPr>
        <w:pStyle w:val="260"/>
        <w:spacing w:before="156" w:after="156"/>
      </w:pPr>
      <w:bookmarkStart w:id="52" w:name="_Toc105493587"/>
      <w:bookmarkStart w:id="53" w:name="_Toc107056521"/>
      <w:bookmarkStart w:id="54" w:name="_Toc107056563"/>
      <w:bookmarkStart w:id="55" w:name="_Toc106812308"/>
      <w:r>
        <w:rPr>
          <w:rFonts w:hint="eastAsia"/>
        </w:rPr>
        <w:t>受理</w:t>
      </w:r>
      <w:bookmarkEnd w:id="52"/>
      <w:bookmarkEnd w:id="53"/>
      <w:bookmarkEnd w:id="54"/>
      <w:bookmarkEnd w:id="55"/>
    </w:p>
    <w:p>
      <w:pPr>
        <w:pStyle w:val="258"/>
        <w:ind w:firstLine="420"/>
      </w:pPr>
      <w:r>
        <w:rPr>
          <w:rFonts w:hint="eastAsia"/>
        </w:rPr>
        <w:t>“一窗受理”综合窗口在获取申请材料后，对申请材料进行初审，对符合受理条件的且材料齐全的，初审通过后，出具受理通知书，将相关申请材料分类推送至各部门；对符合受理条件但材料不齐全的，一次性告知申请人补正材料或根据申请人意愿采取容缺受理、承诺审批；对不符合受理条件的，出具不予受理通知书并告知原因。</w:t>
      </w:r>
    </w:p>
    <w:p>
      <w:pPr>
        <w:pStyle w:val="260"/>
        <w:spacing w:before="156" w:after="156"/>
      </w:pPr>
      <w:bookmarkStart w:id="56" w:name="_Toc107056564"/>
      <w:bookmarkStart w:id="57" w:name="_Toc106812309"/>
      <w:bookmarkStart w:id="58" w:name="_Toc107056522"/>
      <w:r>
        <w:rPr>
          <w:rFonts w:hint="eastAsia"/>
        </w:rPr>
        <w:t>办理</w:t>
      </w:r>
      <w:bookmarkEnd w:id="56"/>
      <w:bookmarkEnd w:id="57"/>
      <w:bookmarkEnd w:id="58"/>
    </w:p>
    <w:p>
      <w:pPr>
        <w:pStyle w:val="327"/>
      </w:pPr>
    </w:p>
    <w:p>
      <w:pPr>
        <w:widowControl/>
        <w:numPr>
          <w:ilvl w:val="2"/>
          <w:numId w:val="11"/>
        </w:numPr>
        <w:spacing w:beforeLines="50" w:afterLines="50"/>
        <w:ind w:left="17" w:hanging="16" w:hangingChars="8"/>
        <w:jc w:val="left"/>
        <w:outlineLvl w:val="3"/>
        <w:rPr>
          <w:rFonts w:ascii="黑体" w:eastAsia="黑体"/>
          <w:kern w:val="0"/>
          <w:szCs w:val="21"/>
        </w:rPr>
      </w:pPr>
      <w:r>
        <w:rPr>
          <w:rFonts w:hint="eastAsia" w:ascii="黑体" w:eastAsia="黑体"/>
          <w:kern w:val="0"/>
          <w:szCs w:val="21"/>
        </w:rPr>
        <w:t>存量房（二手房）交易申报</w:t>
      </w:r>
    </w:p>
    <w:p>
      <w:pPr>
        <w:pStyle w:val="327"/>
      </w:pPr>
      <w:r>
        <w:rPr>
          <w:rFonts w:hint="eastAsia"/>
        </w:rPr>
        <w:t>税务部门对推送的材料进行查收并即时办理，出具完税凭证，同时将办理结果推送至自然资源部门。</w:t>
      </w:r>
    </w:p>
    <w:p>
      <w:pPr>
        <w:pStyle w:val="327"/>
      </w:pPr>
      <w:r>
        <w:rPr>
          <w:rFonts w:hint="eastAsia"/>
        </w:rPr>
        <w:t>通过</w:t>
      </w:r>
      <w:r>
        <w:rPr>
          <w:rFonts w:hint="eastAsia" w:ascii="宋体"/>
          <w:szCs w:val="20"/>
        </w:rPr>
        <w:t>广西数字政务一体化平台、广西政务A</w:t>
      </w:r>
      <w:r>
        <w:rPr>
          <w:rFonts w:ascii="宋体"/>
          <w:szCs w:val="20"/>
        </w:rPr>
        <w:t>PP</w:t>
      </w:r>
      <w:r>
        <w:rPr>
          <w:rFonts w:hint="eastAsia" w:ascii="宋体"/>
          <w:szCs w:val="20"/>
        </w:rPr>
        <w:t>等平台</w:t>
      </w:r>
      <w:r>
        <w:rPr>
          <w:rFonts w:hint="eastAsia"/>
        </w:rPr>
        <w:t>向申请人推送存量房（二手房）交易申报受理办结进度，包括未办结、已办结等状态。</w:t>
      </w:r>
    </w:p>
    <w:p>
      <w:pPr>
        <w:pStyle w:val="327"/>
      </w:pPr>
      <w:r>
        <w:rPr>
          <w:rFonts w:hint="eastAsia"/>
        </w:rPr>
        <w:t>完成存量房（二手房）交易申报后，应将完税凭证送达至申请人。</w:t>
      </w:r>
    </w:p>
    <w:p>
      <w:pPr>
        <w:widowControl/>
        <w:numPr>
          <w:ilvl w:val="2"/>
          <w:numId w:val="11"/>
        </w:numPr>
        <w:spacing w:beforeLines="50" w:afterLines="50"/>
        <w:jc w:val="left"/>
        <w:outlineLvl w:val="3"/>
        <w:rPr>
          <w:rFonts w:ascii="黑体" w:eastAsia="黑体"/>
          <w:kern w:val="0"/>
          <w:szCs w:val="21"/>
        </w:rPr>
      </w:pPr>
      <w:r>
        <w:rPr>
          <w:rFonts w:hint="eastAsia" w:ascii="黑体" w:eastAsia="黑体"/>
          <w:kern w:val="0"/>
          <w:szCs w:val="21"/>
        </w:rPr>
        <w:t>国有建设用地使用权及房屋所有权转移登记（按户登记）</w:t>
      </w:r>
    </w:p>
    <w:p>
      <w:pPr>
        <w:pStyle w:val="327"/>
      </w:pPr>
      <w:r>
        <w:rPr>
          <w:rFonts w:hint="eastAsia"/>
        </w:rPr>
        <w:t>自然资源部门对推送的材料进行查收并即时办理，出具不动产权属证书，同时将办理结果推送至电网公司、住房城乡建设部门。</w:t>
      </w:r>
    </w:p>
    <w:p>
      <w:pPr>
        <w:pStyle w:val="327"/>
      </w:pPr>
      <w:r>
        <w:rPr>
          <w:rFonts w:hint="eastAsia"/>
        </w:rPr>
        <w:t>通过</w:t>
      </w:r>
      <w:r>
        <w:rPr>
          <w:rFonts w:hint="eastAsia" w:ascii="宋体"/>
          <w:szCs w:val="20"/>
        </w:rPr>
        <w:t>广西数字政务一体化平台、广西政务A</w:t>
      </w:r>
      <w:r>
        <w:rPr>
          <w:rFonts w:ascii="宋体"/>
          <w:szCs w:val="20"/>
        </w:rPr>
        <w:t>PP</w:t>
      </w:r>
      <w:r>
        <w:rPr>
          <w:rFonts w:hint="eastAsia" w:ascii="宋体"/>
          <w:szCs w:val="20"/>
        </w:rPr>
        <w:t>等平台</w:t>
      </w:r>
      <w:r>
        <w:rPr>
          <w:rFonts w:hint="eastAsia"/>
        </w:rPr>
        <w:t>向申请人推送存量房（二手房）交易申报受理办结进度，包括未办结、已办结等状态。</w:t>
      </w:r>
    </w:p>
    <w:p>
      <w:pPr>
        <w:numPr>
          <w:ilvl w:val="3"/>
          <w:numId w:val="11"/>
        </w:numPr>
        <w:rPr>
          <w:rFonts w:asciiTheme="majorEastAsia" w:eastAsiaTheme="majorEastAsia"/>
          <w:szCs w:val="21"/>
        </w:rPr>
      </w:pPr>
      <w:r>
        <w:rPr>
          <w:rFonts w:hint="eastAsia"/>
        </w:rPr>
        <w:t>完成国有建设用地使用权及房屋所有权转移登记（按户登记）后，应将不动产权属证书</w:t>
      </w:r>
      <w:r>
        <w:rPr>
          <w:rFonts w:hint="eastAsia" w:asciiTheme="majorEastAsia" w:eastAsiaTheme="majorEastAsia"/>
          <w:szCs w:val="21"/>
        </w:rPr>
        <w:t>送达至申请人。</w:t>
      </w:r>
    </w:p>
    <w:p>
      <w:pPr>
        <w:widowControl/>
        <w:numPr>
          <w:ilvl w:val="2"/>
          <w:numId w:val="11"/>
        </w:numPr>
        <w:spacing w:beforeLines="50" w:afterLines="50"/>
        <w:jc w:val="left"/>
        <w:outlineLvl w:val="3"/>
        <w:rPr>
          <w:rFonts w:ascii="黑体" w:eastAsia="黑体"/>
          <w:kern w:val="0"/>
          <w:szCs w:val="21"/>
        </w:rPr>
      </w:pPr>
      <w:bookmarkStart w:id="59" w:name="_Toc105493589"/>
      <w:r>
        <w:rPr>
          <w:rFonts w:hint="eastAsia" w:ascii="黑体" w:eastAsia="黑体"/>
          <w:kern w:val="0"/>
          <w:szCs w:val="21"/>
        </w:rPr>
        <w:t>电表过户</w:t>
      </w:r>
      <w:bookmarkEnd w:id="59"/>
    </w:p>
    <w:p>
      <w:pPr>
        <w:pStyle w:val="327"/>
      </w:pPr>
      <w:r>
        <w:rPr>
          <w:rFonts w:hint="eastAsia"/>
        </w:rPr>
        <w:t>电网公司对推送的材料进行查收并即时办理。</w:t>
      </w:r>
    </w:p>
    <w:p>
      <w:pPr>
        <w:pStyle w:val="327"/>
      </w:pPr>
      <w:r>
        <w:rPr>
          <w:rFonts w:hint="eastAsia"/>
        </w:rPr>
        <w:t>通过</w:t>
      </w:r>
      <w:r>
        <w:rPr>
          <w:rFonts w:hint="eastAsia" w:ascii="宋体"/>
          <w:szCs w:val="20"/>
        </w:rPr>
        <w:t>广西数字政务一体化平台、广西政务A</w:t>
      </w:r>
      <w:r>
        <w:rPr>
          <w:rFonts w:ascii="宋体"/>
          <w:szCs w:val="20"/>
        </w:rPr>
        <w:t>PP</w:t>
      </w:r>
      <w:r>
        <w:rPr>
          <w:rFonts w:hint="eastAsia" w:ascii="宋体"/>
          <w:szCs w:val="20"/>
        </w:rPr>
        <w:t>等平台</w:t>
      </w:r>
      <w:r>
        <w:rPr>
          <w:rFonts w:hint="eastAsia"/>
        </w:rPr>
        <w:t>向申请人推送电表过户受理办结进度，包括未办结、已办结等状态。</w:t>
      </w:r>
    </w:p>
    <w:p>
      <w:pPr>
        <w:widowControl/>
        <w:numPr>
          <w:ilvl w:val="2"/>
          <w:numId w:val="11"/>
        </w:numPr>
        <w:spacing w:beforeLines="50" w:afterLines="50"/>
        <w:jc w:val="left"/>
        <w:outlineLvl w:val="3"/>
        <w:rPr>
          <w:rFonts w:ascii="黑体" w:eastAsia="黑体"/>
          <w:kern w:val="0"/>
          <w:szCs w:val="21"/>
        </w:rPr>
      </w:pPr>
      <w:r>
        <w:rPr>
          <w:rFonts w:hint="eastAsia" w:ascii="黑体" w:eastAsia="黑体"/>
          <w:kern w:val="0"/>
          <w:szCs w:val="21"/>
        </w:rPr>
        <w:t>水表、天然气过户</w:t>
      </w:r>
    </w:p>
    <w:p>
      <w:pPr>
        <w:pStyle w:val="327"/>
      </w:pPr>
      <w:r>
        <w:rPr>
          <w:rFonts w:hint="eastAsia"/>
        </w:rPr>
        <w:t>住房城乡建设部门对推送的材料进行查收并即时办理。</w:t>
      </w:r>
    </w:p>
    <w:p>
      <w:pPr>
        <w:pStyle w:val="327"/>
      </w:pPr>
      <w:r>
        <w:rPr>
          <w:rFonts w:hint="eastAsia"/>
        </w:rPr>
        <w:t>通过</w:t>
      </w:r>
      <w:r>
        <w:rPr>
          <w:rFonts w:hint="eastAsia" w:ascii="宋体"/>
          <w:szCs w:val="20"/>
        </w:rPr>
        <w:t>广西数字政务一体化平台、广西政务A</w:t>
      </w:r>
      <w:r>
        <w:rPr>
          <w:rFonts w:ascii="宋体"/>
          <w:szCs w:val="20"/>
        </w:rPr>
        <w:t>PP</w:t>
      </w:r>
      <w:r>
        <w:rPr>
          <w:rFonts w:hint="eastAsia" w:ascii="宋体"/>
          <w:szCs w:val="20"/>
        </w:rPr>
        <w:t>等平台</w:t>
      </w:r>
      <w:r>
        <w:rPr>
          <w:rFonts w:hint="eastAsia"/>
        </w:rPr>
        <w:t>向申请人推送水表、天然气过户受理办结进度，包括未办结、已办结等状态。</w:t>
      </w:r>
    </w:p>
    <w:p>
      <w:pPr>
        <w:pStyle w:val="260"/>
        <w:spacing w:before="156" w:after="156"/>
      </w:pPr>
      <w:bookmarkStart w:id="60" w:name="_Toc106812310"/>
      <w:bookmarkStart w:id="61" w:name="_Toc107056565"/>
      <w:bookmarkStart w:id="62" w:name="_Toc107056523"/>
      <w:bookmarkStart w:id="63" w:name="_Toc105493590"/>
      <w:r>
        <w:rPr>
          <w:rFonts w:hint="eastAsia"/>
        </w:rPr>
        <w:t>业务流程图</w:t>
      </w:r>
      <w:bookmarkEnd w:id="60"/>
      <w:bookmarkEnd w:id="61"/>
      <w:bookmarkEnd w:id="62"/>
      <w:bookmarkEnd w:id="63"/>
    </w:p>
    <w:p>
      <w:pPr>
        <w:pStyle w:val="258"/>
        <w:ind w:firstLine="420"/>
      </w:pPr>
      <w:r>
        <w:rPr>
          <w:rFonts w:hint="eastAsia"/>
        </w:rPr>
        <w:t>二手房交易及水电气联动过户“全链通办”业务流程图详见附录C。</w:t>
      </w:r>
    </w:p>
    <w:p>
      <w:pPr>
        <w:pStyle w:val="259"/>
        <w:spacing w:before="312" w:after="312"/>
      </w:pPr>
      <w:bookmarkStart w:id="64" w:name="_Toc107056524"/>
      <w:bookmarkStart w:id="65" w:name="_Toc106812311"/>
      <w:bookmarkStart w:id="66" w:name="_Toc107056566"/>
      <w:bookmarkStart w:id="67" w:name="_Toc105493594"/>
      <w:r>
        <w:rPr>
          <w:rFonts w:hint="eastAsia"/>
        </w:rPr>
        <w:t>办结时限</w:t>
      </w:r>
      <w:bookmarkEnd w:id="64"/>
      <w:bookmarkEnd w:id="65"/>
      <w:bookmarkEnd w:id="66"/>
    </w:p>
    <w:p>
      <w:pPr>
        <w:pStyle w:val="330"/>
      </w:pPr>
      <w:r>
        <w:rPr>
          <w:rFonts w:hint="eastAsia"/>
        </w:rPr>
        <w:t>二手房交易及水电气联动过户“全链通办”承诺办结时限为2个工作日。</w:t>
      </w:r>
    </w:p>
    <w:p>
      <w:pPr>
        <w:pStyle w:val="330"/>
      </w:pPr>
      <w:r>
        <w:rPr>
          <w:rFonts w:hint="eastAsia"/>
        </w:rPr>
        <w:t>各单一事项承诺办结时限如下：</w:t>
      </w:r>
    </w:p>
    <w:p>
      <w:pPr>
        <w:pStyle w:val="305"/>
        <w:numPr>
          <w:ilvl w:val="0"/>
          <w:numId w:val="33"/>
        </w:numPr>
      </w:pPr>
      <w:r>
        <w:rPr>
          <w:rFonts w:hint="eastAsia"/>
        </w:rPr>
        <w:t>存量房（二手房）交易申报办结时限为0</w:t>
      </w:r>
      <w:r>
        <w:t>.5</w:t>
      </w:r>
      <w:r>
        <w:rPr>
          <w:rFonts w:hint="eastAsia"/>
        </w:rPr>
        <w:t>个工作日；</w:t>
      </w:r>
    </w:p>
    <w:p>
      <w:pPr>
        <w:pStyle w:val="305"/>
        <w:numPr>
          <w:ilvl w:val="0"/>
          <w:numId w:val="33"/>
        </w:numPr>
      </w:pPr>
      <w:r>
        <w:rPr>
          <w:rFonts w:hint="eastAsia"/>
        </w:rPr>
        <w:t>国有建设用地使用权及房屋所有权转移登记（按户登记）办结时限为</w:t>
      </w:r>
      <w:r>
        <w:t>0.5</w:t>
      </w:r>
      <w:r>
        <w:rPr>
          <w:rFonts w:hint="eastAsia"/>
        </w:rPr>
        <w:t>个工作日；</w:t>
      </w:r>
    </w:p>
    <w:p>
      <w:pPr>
        <w:pStyle w:val="305"/>
        <w:numPr>
          <w:ilvl w:val="0"/>
          <w:numId w:val="33"/>
        </w:numPr>
      </w:pPr>
      <w:r>
        <w:rPr>
          <w:rFonts w:hint="eastAsia"/>
        </w:rPr>
        <w:t>电表过户办结时限为0</w:t>
      </w:r>
      <w:r>
        <w:t>.5</w:t>
      </w:r>
      <w:r>
        <w:rPr>
          <w:rFonts w:hint="eastAsia"/>
        </w:rPr>
        <w:t>个工作日；</w:t>
      </w:r>
    </w:p>
    <w:p>
      <w:pPr>
        <w:pStyle w:val="305"/>
        <w:numPr>
          <w:ilvl w:val="0"/>
          <w:numId w:val="33"/>
        </w:numPr>
      </w:pPr>
      <w:r>
        <w:rPr>
          <w:rFonts w:hint="eastAsia"/>
        </w:rPr>
        <w:t>水表过户办结时限为0</w:t>
      </w:r>
      <w:r>
        <w:t>.5</w:t>
      </w:r>
      <w:r>
        <w:rPr>
          <w:rFonts w:hint="eastAsia"/>
        </w:rPr>
        <w:t>个工作日；</w:t>
      </w:r>
    </w:p>
    <w:p>
      <w:pPr>
        <w:pStyle w:val="305"/>
        <w:numPr>
          <w:ilvl w:val="0"/>
          <w:numId w:val="33"/>
        </w:numPr>
      </w:pPr>
      <w:r>
        <w:rPr>
          <w:rFonts w:hint="eastAsia"/>
        </w:rPr>
        <w:t>天然气过户办结时限为0</w:t>
      </w:r>
      <w:r>
        <w:t>.5</w:t>
      </w:r>
      <w:r>
        <w:rPr>
          <w:rFonts w:hint="eastAsia"/>
        </w:rPr>
        <w:t>个工作日。</w:t>
      </w:r>
    </w:p>
    <w:p>
      <w:pPr>
        <w:pStyle w:val="259"/>
        <w:spacing w:before="312" w:after="312"/>
      </w:pPr>
      <w:bookmarkStart w:id="68" w:name="_Toc107056567"/>
      <w:bookmarkStart w:id="69" w:name="_Toc107056525"/>
      <w:bookmarkStart w:id="70" w:name="_Toc106812312"/>
      <w:r>
        <w:rPr>
          <w:rFonts w:hint="eastAsia"/>
        </w:rPr>
        <w:t>结果送达</w:t>
      </w:r>
      <w:bookmarkEnd w:id="67"/>
      <w:bookmarkEnd w:id="68"/>
      <w:bookmarkEnd w:id="69"/>
      <w:bookmarkEnd w:id="70"/>
    </w:p>
    <w:p>
      <w:pPr>
        <w:pStyle w:val="330"/>
      </w:pPr>
      <w:r>
        <w:rPr>
          <w:rFonts w:hint="eastAsia"/>
        </w:rPr>
        <w:t>应根据申请人需求，按以下方式送达办结结果：</w:t>
      </w:r>
    </w:p>
    <w:p>
      <w:pPr>
        <w:pStyle w:val="305"/>
        <w:numPr>
          <w:ilvl w:val="0"/>
          <w:numId w:val="34"/>
        </w:numPr>
      </w:pPr>
      <w:r>
        <w:rPr>
          <w:rFonts w:hint="eastAsia"/>
        </w:rPr>
        <w:t>不动产电子证照、完税凭证自行网络下载；</w:t>
      </w:r>
    </w:p>
    <w:p>
      <w:pPr>
        <w:pStyle w:val="305"/>
        <w:numPr>
          <w:ilvl w:val="0"/>
          <w:numId w:val="34"/>
        </w:numPr>
      </w:pPr>
      <w:r>
        <w:rPr>
          <w:rFonts w:hint="eastAsia"/>
        </w:rPr>
        <w:t>不动产权属证书等实体证件通过自行领取或邮寄方式送达。</w:t>
      </w:r>
    </w:p>
    <w:p>
      <w:pPr>
        <w:pStyle w:val="330"/>
      </w:pPr>
      <w:r>
        <w:rPr>
          <w:rFonts w:hint="eastAsia"/>
        </w:rPr>
        <w:t>申请人选择自取证件时，应通过广西数字政务一体化平台、广西政务APP推送或短信等方式通知自取证件的时间和地点。</w:t>
      </w:r>
    </w:p>
    <w:p>
      <w:pPr>
        <w:pStyle w:val="330"/>
      </w:pPr>
      <w:r>
        <w:rPr>
          <w:rFonts w:hint="eastAsia"/>
        </w:rPr>
        <w:t>申请人可通过政务一体化平台、APP等平台查询完税凭证、不动产权属证书办理等信息。</w:t>
      </w:r>
    </w:p>
    <w:p>
      <w:pPr>
        <w:pStyle w:val="259"/>
        <w:spacing w:before="312" w:after="312"/>
      </w:pPr>
      <w:bookmarkStart w:id="71" w:name="_Toc106812313"/>
      <w:bookmarkStart w:id="72" w:name="_Toc105493595"/>
      <w:bookmarkStart w:id="73" w:name="_Toc107056526"/>
      <w:bookmarkStart w:id="74" w:name="_Toc107056568"/>
      <w:r>
        <w:rPr>
          <w:rFonts w:hint="eastAsia"/>
        </w:rPr>
        <w:t>评价与改进</w:t>
      </w:r>
      <w:bookmarkEnd w:id="71"/>
      <w:bookmarkEnd w:id="72"/>
      <w:bookmarkEnd w:id="73"/>
      <w:bookmarkEnd w:id="74"/>
    </w:p>
    <w:p>
      <w:pPr>
        <w:pStyle w:val="330"/>
      </w:pPr>
      <w:r>
        <w:rPr>
          <w:rFonts w:hint="eastAsia"/>
        </w:rPr>
        <w:t>根据GB/T 39734、GB/</w:t>
      </w:r>
      <w:r>
        <w:t xml:space="preserve"> </w:t>
      </w:r>
      <w:r>
        <w:rPr>
          <w:rFonts w:hint="eastAsia"/>
        </w:rPr>
        <w:t>T39735的评价要求，在事项办结后，向二手房交易及水电气联动过户人员推送“好差评”服务，接受社会监督。</w:t>
      </w:r>
    </w:p>
    <w:p>
      <w:pPr>
        <w:pStyle w:val="330"/>
        <w:numPr>
          <w:ilvl w:val="-1"/>
          <w:numId w:val="0"/>
        </w:numPr>
        <w:rPr>
          <w:rFonts w:hint="eastAsia"/>
        </w:rPr>
      </w:pPr>
      <w:r>
        <w:rPr>
          <w:rFonts w:hint="eastAsia"/>
        </w:rPr>
        <w:t>根据“好差评”内容，不断改进二手房交易及水电气联动过户“全链通办”服务效率和质量。</w:t>
      </w:r>
    </w:p>
    <w:p>
      <w:pPr>
        <w:pStyle w:val="330"/>
        <w:numPr>
          <w:ilvl w:val="-1"/>
          <w:numId w:val="0"/>
        </w:numPr>
        <w:rPr>
          <w:rFonts w:hint="eastAsia"/>
          <w:lang w:eastAsia="zh-CN"/>
        </w:rPr>
      </w:pPr>
    </w:p>
    <w:p>
      <w:pPr>
        <w:pStyle w:val="330"/>
        <w:numPr>
          <w:ilvl w:val="-1"/>
          <w:numId w:val="0"/>
        </w:numPr>
        <w:sectPr>
          <w:footerReference r:id="rId3" w:type="default"/>
          <w:footerReference r:id="rId4" w:type="even"/>
          <w:pgSz w:w="11907" w:h="16839"/>
          <w:pgMar w:top="1417" w:right="1134" w:bottom="1134" w:left="1417" w:header="1417" w:footer="1134" w:gutter="0"/>
          <w:pgNumType w:start="1"/>
          <w:cols w:space="425" w:num="1"/>
          <w:docGrid w:type="lines" w:linePitch="312" w:charSpace="0"/>
        </w:sectPr>
      </w:pPr>
      <w:r>
        <w:rPr>
          <w:rFonts w:hint="eastAsia"/>
          <w:lang w:eastAsia="zh-CN"/>
        </w:rPr>
        <w:t>业务咨询电话：市不动产登记中心，</w:t>
      </w:r>
      <w:r>
        <w:rPr>
          <w:rFonts w:hint="eastAsia"/>
          <w:lang w:val="en-US" w:eastAsia="zh-CN"/>
        </w:rPr>
        <w:t>0772-2806003。</w:t>
      </w:r>
      <w:bookmarkStart w:id="146" w:name="_GoBack"/>
      <w:bookmarkEnd w:id="146"/>
    </w:p>
    <w:p>
      <w:pPr>
        <w:widowControl/>
        <w:jc w:val="left"/>
        <w:rPr>
          <w:rFonts w:ascii="宋体"/>
          <w:kern w:val="0"/>
          <w:szCs w:val="20"/>
        </w:rPr>
      </w:pPr>
      <w:bookmarkStart w:id="75" w:name="_Toc100128704"/>
      <w:bookmarkEnd w:id="75"/>
      <w:bookmarkStart w:id="76" w:name="_Toc100128703"/>
      <w:bookmarkEnd w:id="76"/>
      <w:bookmarkStart w:id="77" w:name="_Toc100128711"/>
      <w:bookmarkEnd w:id="77"/>
      <w:bookmarkStart w:id="78" w:name="_Toc100128872"/>
      <w:bookmarkEnd w:id="78"/>
      <w:bookmarkStart w:id="79" w:name="_Toc100128702"/>
      <w:bookmarkEnd w:id="79"/>
      <w:bookmarkStart w:id="80" w:name="_Toc100128866"/>
      <w:bookmarkEnd w:id="80"/>
      <w:bookmarkStart w:id="81" w:name="_Toc100128868"/>
      <w:bookmarkEnd w:id="81"/>
      <w:bookmarkStart w:id="82" w:name="_Toc100128804"/>
      <w:bookmarkEnd w:id="82"/>
      <w:bookmarkStart w:id="83" w:name="_Toc100128774"/>
      <w:bookmarkEnd w:id="83"/>
      <w:bookmarkStart w:id="84" w:name="_Toc100128871"/>
      <w:bookmarkEnd w:id="84"/>
      <w:bookmarkStart w:id="85" w:name="_Toc100128876"/>
      <w:bookmarkEnd w:id="85"/>
      <w:bookmarkStart w:id="86" w:name="_Toc100128712"/>
      <w:bookmarkEnd w:id="86"/>
      <w:bookmarkStart w:id="87" w:name="_Toc100128771"/>
      <w:bookmarkEnd w:id="87"/>
      <w:bookmarkStart w:id="88" w:name="_Toc100128768"/>
      <w:bookmarkEnd w:id="88"/>
      <w:bookmarkStart w:id="89" w:name="_Toc100128805"/>
      <w:bookmarkEnd w:id="89"/>
      <w:bookmarkStart w:id="90" w:name="_Toc100128713"/>
      <w:bookmarkEnd w:id="90"/>
      <w:bookmarkStart w:id="91" w:name="_Toc100128808"/>
      <w:bookmarkEnd w:id="91"/>
      <w:bookmarkStart w:id="92" w:name="_Toc100128706"/>
      <w:bookmarkEnd w:id="92"/>
      <w:bookmarkStart w:id="93" w:name="_Toc100128769"/>
      <w:bookmarkEnd w:id="93"/>
      <w:bookmarkStart w:id="94" w:name="_Toc100128814"/>
      <w:bookmarkEnd w:id="94"/>
      <w:bookmarkStart w:id="95" w:name="_Toc100128873"/>
      <w:bookmarkEnd w:id="95"/>
      <w:bookmarkStart w:id="96" w:name="_Toc100128875"/>
      <w:bookmarkEnd w:id="96"/>
      <w:bookmarkStart w:id="97" w:name="_Toc100128874"/>
      <w:bookmarkEnd w:id="97"/>
      <w:bookmarkStart w:id="98" w:name="_Toc100128869"/>
      <w:bookmarkEnd w:id="98"/>
      <w:bookmarkStart w:id="99" w:name="_Toc100128810"/>
      <w:bookmarkEnd w:id="99"/>
      <w:bookmarkStart w:id="100" w:name="_Toc100128816"/>
      <w:bookmarkEnd w:id="100"/>
      <w:bookmarkStart w:id="101" w:name="_Toc100128811"/>
      <w:bookmarkEnd w:id="101"/>
      <w:bookmarkStart w:id="102" w:name="_Toc100128708"/>
      <w:bookmarkEnd w:id="102"/>
      <w:bookmarkStart w:id="103" w:name="_Toc100128707"/>
      <w:bookmarkEnd w:id="103"/>
      <w:bookmarkStart w:id="104" w:name="_Toc100128877"/>
      <w:bookmarkEnd w:id="104"/>
      <w:bookmarkStart w:id="105" w:name="_Toc100128710"/>
      <w:bookmarkEnd w:id="105"/>
      <w:bookmarkStart w:id="106" w:name="_Toc100128813"/>
      <w:bookmarkEnd w:id="106"/>
      <w:bookmarkStart w:id="107" w:name="_Toc100128714"/>
      <w:bookmarkEnd w:id="107"/>
      <w:bookmarkStart w:id="108" w:name="_Toc100128773"/>
      <w:bookmarkEnd w:id="108"/>
      <w:bookmarkStart w:id="109" w:name="_Toc100128705"/>
      <w:bookmarkEnd w:id="109"/>
      <w:bookmarkStart w:id="110" w:name="_Toc100128815"/>
      <w:bookmarkEnd w:id="110"/>
      <w:bookmarkStart w:id="111" w:name="_Toc100128867"/>
      <w:bookmarkEnd w:id="111"/>
      <w:bookmarkStart w:id="112" w:name="_Toc100128715"/>
      <w:bookmarkEnd w:id="112"/>
      <w:bookmarkStart w:id="113" w:name="_Toc100128775"/>
      <w:bookmarkEnd w:id="113"/>
      <w:bookmarkStart w:id="114" w:name="_Toc100128806"/>
      <w:bookmarkEnd w:id="114"/>
      <w:bookmarkStart w:id="115" w:name="_Toc100128807"/>
      <w:bookmarkEnd w:id="115"/>
      <w:bookmarkStart w:id="116" w:name="_Toc100128766"/>
      <w:bookmarkEnd w:id="116"/>
      <w:bookmarkStart w:id="117" w:name="_Toc100128809"/>
      <w:bookmarkEnd w:id="117"/>
      <w:bookmarkStart w:id="118" w:name="_Toc100128865"/>
      <w:bookmarkEnd w:id="118"/>
      <w:bookmarkStart w:id="119" w:name="_Toc100128870"/>
      <w:bookmarkEnd w:id="119"/>
      <w:bookmarkStart w:id="120" w:name="_Toc100128772"/>
      <w:bookmarkEnd w:id="120"/>
      <w:bookmarkStart w:id="121" w:name="_Toc100128764"/>
      <w:bookmarkEnd w:id="121"/>
      <w:bookmarkStart w:id="122" w:name="_Toc100128817"/>
      <w:bookmarkEnd w:id="122"/>
      <w:bookmarkStart w:id="123" w:name="_Toc100128709"/>
      <w:bookmarkEnd w:id="123"/>
      <w:bookmarkStart w:id="124" w:name="_Toc100128770"/>
      <w:bookmarkEnd w:id="124"/>
      <w:bookmarkStart w:id="125" w:name="_Toc100128701"/>
      <w:bookmarkEnd w:id="125"/>
      <w:bookmarkStart w:id="126" w:name="_Toc100128763"/>
      <w:bookmarkEnd w:id="126"/>
      <w:bookmarkStart w:id="127" w:name="_Toc100128765"/>
      <w:bookmarkEnd w:id="127"/>
      <w:bookmarkStart w:id="128" w:name="_Toc100128812"/>
      <w:bookmarkEnd w:id="128"/>
      <w:bookmarkStart w:id="129" w:name="_Toc100128803"/>
      <w:bookmarkEnd w:id="129"/>
      <w:bookmarkStart w:id="130" w:name="_Toc100128767"/>
      <w:bookmarkEnd w:id="130"/>
    </w:p>
    <w:p>
      <w:pPr>
        <w:pStyle w:val="258"/>
        <w:ind w:firstLine="0" w:firstLineChars="0"/>
      </w:pPr>
    </w:p>
    <w:p>
      <w:pPr>
        <w:pStyle w:val="347"/>
      </w:pPr>
    </w:p>
    <w:p>
      <w:pPr>
        <w:pStyle w:val="348"/>
      </w:pPr>
    </w:p>
    <w:p>
      <w:pPr>
        <w:pStyle w:val="274"/>
      </w:pPr>
      <w:r>
        <w:br w:type="textWrapping"/>
      </w:r>
      <w:bookmarkStart w:id="131" w:name="_Toc105493596"/>
      <w:bookmarkStart w:id="132" w:name="_Toc96693473"/>
      <w:bookmarkStart w:id="133" w:name="_Toc107056527"/>
      <w:bookmarkStart w:id="134" w:name="_Toc107056569"/>
      <w:bookmarkStart w:id="135" w:name="_Toc106812314"/>
      <w:r>
        <w:rPr>
          <w:rFonts w:hint="eastAsia"/>
        </w:rPr>
        <w:t>（资料性）</w:t>
      </w:r>
      <w:r>
        <w:br w:type="textWrapping"/>
      </w:r>
      <w:r>
        <w:rPr>
          <w:rFonts w:hint="eastAsia"/>
        </w:rPr>
        <w:t>二手房交易及水电气联动过户“全链通办”数据流转示意图</w:t>
      </w:r>
      <w:bookmarkEnd w:id="131"/>
      <w:bookmarkEnd w:id="132"/>
      <w:bookmarkEnd w:id="133"/>
      <w:bookmarkEnd w:id="134"/>
      <w:bookmarkEnd w:id="135"/>
    </w:p>
    <w:p>
      <w:r>
        <w:rPr>
          <w:rFonts w:hint="eastAsia"/>
        </w:rPr>
        <w:t>二手房交易及水电气联动过户“全链通办”数据流转示意图详见A.</w:t>
      </w:r>
      <w:r>
        <w:t>1</w:t>
      </w:r>
      <w:r>
        <w:rPr>
          <w:rFonts w:hint="eastAsia"/>
        </w:rPr>
        <w:t>。</w:t>
      </w:r>
    </w:p>
    <w:p>
      <w:pPr>
        <w:pStyle w:val="2"/>
      </w:pPr>
      <w:r>
        <w:rPr>
          <w:rFonts w:hint="eastAsia"/>
        </w:rPr>
        <w:drawing>
          <wp:inline distT="0" distB="0" distL="0" distR="0">
            <wp:extent cx="5941060" cy="5661660"/>
            <wp:effectExtent l="0" t="0" r="2540" b="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8" cstate="print">
                      <a:extLst>
                        <a:ext uri="{28A0092B-C50C-407E-A947-70E740481C1C}">
                          <a14:useLocalDpi xmlns:a14="http://schemas.microsoft.com/office/drawing/2010/main" val="false"/>
                        </a:ext>
                      </a:extLst>
                    </a:blip>
                    <a:stretch>
                      <a:fillRect/>
                    </a:stretch>
                  </pic:blipFill>
                  <pic:spPr>
                    <a:xfrm>
                      <a:off x="0" y="0"/>
                      <a:ext cx="5941060" cy="5661660"/>
                    </a:xfrm>
                    <a:prstGeom prst="rect">
                      <a:avLst/>
                    </a:prstGeom>
                  </pic:spPr>
                </pic:pic>
              </a:graphicData>
            </a:graphic>
          </wp:inline>
        </w:drawing>
      </w:r>
    </w:p>
    <w:p>
      <w:pPr>
        <w:pStyle w:val="281"/>
        <w:spacing w:before="156" w:after="156"/>
      </w:pPr>
      <w:r>
        <w:rPr>
          <w:rFonts w:hint="eastAsia"/>
        </w:rPr>
        <w:t>二手房交易及水电气联动过户“全链通办”数据流转示意图</w:t>
      </w:r>
    </w:p>
    <w:p>
      <w:pPr>
        <w:pStyle w:val="347"/>
      </w:pPr>
    </w:p>
    <w:p>
      <w:pPr>
        <w:pStyle w:val="348"/>
      </w:pPr>
    </w:p>
    <w:p>
      <w:pPr>
        <w:pStyle w:val="274"/>
      </w:pPr>
      <w:r>
        <w:br w:type="textWrapping"/>
      </w:r>
      <w:bookmarkStart w:id="136" w:name="_Toc105493597"/>
      <w:bookmarkStart w:id="137" w:name="_Toc106812315"/>
      <w:bookmarkStart w:id="138" w:name="_Toc107056528"/>
      <w:bookmarkStart w:id="139" w:name="_Toc107056570"/>
      <w:r>
        <w:rPr>
          <w:rFonts w:hint="eastAsia"/>
        </w:rPr>
        <w:t>（规范性）</w:t>
      </w:r>
      <w:r>
        <w:br w:type="textWrapping"/>
      </w:r>
      <w:r>
        <w:rPr>
          <w:rFonts w:hint="eastAsia"/>
        </w:rPr>
        <w:t>二手房交易及水电气联动过户“全链通办”申请表</w:t>
      </w:r>
      <w:bookmarkEnd w:id="136"/>
      <w:bookmarkEnd w:id="137"/>
      <w:bookmarkEnd w:id="138"/>
      <w:bookmarkEnd w:id="139"/>
    </w:p>
    <w:p>
      <w:r>
        <w:rPr>
          <w:rFonts w:hint="eastAsia"/>
        </w:rPr>
        <w:t>二手房交易及水电气联动过户“全链通办”申请表详见表</w:t>
      </w:r>
      <w:r>
        <w:t>B.1</w:t>
      </w:r>
      <w:r>
        <w:rPr>
          <w:rFonts w:hint="eastAsia"/>
        </w:rPr>
        <w:t>。</w:t>
      </w:r>
    </w:p>
    <w:p>
      <w:pPr>
        <w:pStyle w:val="275"/>
        <w:spacing w:before="156" w:after="156"/>
      </w:pPr>
      <w:bookmarkStart w:id="140" w:name="_Hlk106888185"/>
      <w:r>
        <w:rPr>
          <w:rFonts w:hint="eastAsia"/>
        </w:rPr>
        <w:t>二手房交易及水电气联动过户“全链通办”申请表</w:t>
      </w:r>
    </w:p>
    <w:tbl>
      <w:tblPr>
        <w:tblStyle w:val="88"/>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024"/>
        <w:gridCol w:w="1027"/>
        <w:gridCol w:w="1154"/>
        <w:gridCol w:w="77"/>
        <w:gridCol w:w="677"/>
        <w:gridCol w:w="145"/>
        <w:gridCol w:w="409"/>
        <w:gridCol w:w="273"/>
        <w:gridCol w:w="890"/>
        <w:gridCol w:w="481"/>
        <w:gridCol w:w="15"/>
        <w:gridCol w:w="281"/>
        <w:gridCol w:w="44"/>
        <w:gridCol w:w="643"/>
        <w:gridCol w:w="1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restart"/>
            <w:tcBorders>
              <w:left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基本信息</w:t>
            </w: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r>
              <w:rPr>
                <w:rFonts w:hint="eastAsia" w:ascii="宋体" w:hAnsi="宋体" w:cs="宋体"/>
                <w:kern w:val="0"/>
                <w:sz w:val="18"/>
                <w:szCs w:val="18"/>
              </w:rPr>
              <w:t>买方姓名</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身份证件种类</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证件号</w:t>
            </w:r>
          </w:p>
        </w:tc>
        <w:tc>
          <w:tcPr>
            <w:tcW w:w="6162" w:type="dxa"/>
            <w:gridSpan w:val="1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通讯地址</w:t>
            </w:r>
          </w:p>
        </w:tc>
        <w:tc>
          <w:tcPr>
            <w:tcW w:w="6162" w:type="dxa"/>
            <w:gridSpan w:val="1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联系电话</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邮编</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代理人姓名</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联系电话</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代理人证件类型</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代理人证件号</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代理机构名称</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邮编</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卖方姓名</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身份证件种类</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证件号</w:t>
            </w:r>
          </w:p>
        </w:tc>
        <w:tc>
          <w:tcPr>
            <w:tcW w:w="6162" w:type="dxa"/>
            <w:gridSpan w:val="1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通讯地址</w:t>
            </w:r>
          </w:p>
        </w:tc>
        <w:tc>
          <w:tcPr>
            <w:tcW w:w="6162" w:type="dxa"/>
            <w:gridSpan w:val="1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联系电话</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邮编</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代理人姓名</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联系电话</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代理人证件类型</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代理人证件号</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代理机构名称</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2349"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邮编</w:t>
            </w:r>
          </w:p>
        </w:tc>
        <w:tc>
          <w:tcPr>
            <w:tcW w:w="175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房屋坐落</w:t>
            </w:r>
          </w:p>
          <w:p>
            <w:pPr>
              <w:widowControl/>
              <w:snapToGrid w:val="0"/>
              <w:jc w:val="center"/>
              <w:rPr>
                <w:rFonts w:ascii="宋体" w:hAnsi="宋体" w:cs="宋体"/>
                <w:kern w:val="0"/>
                <w:sz w:val="18"/>
                <w:szCs w:val="18"/>
              </w:rPr>
            </w:pPr>
            <w:r>
              <w:rPr>
                <w:rFonts w:ascii="宋体" w:hAnsi="宋体" w:cs="宋体"/>
                <w:kern w:val="0"/>
                <w:sz w:val="18"/>
                <w:szCs w:val="18"/>
              </w:rPr>
              <w:t>(</w:t>
            </w:r>
            <w:r>
              <w:rPr>
                <w:rFonts w:hint="eastAsia" w:ascii="宋体" w:hAnsi="宋体" w:cs="宋体"/>
                <w:kern w:val="0"/>
                <w:sz w:val="18"/>
                <w:szCs w:val="18"/>
              </w:rPr>
              <w:t>具体到单元号</w:t>
            </w:r>
            <w:r>
              <w:rPr>
                <w:rFonts w:ascii="宋体" w:hAnsi="宋体" w:cs="宋体"/>
                <w:kern w:val="0"/>
                <w:sz w:val="18"/>
                <w:szCs w:val="18"/>
              </w:rPr>
              <w:t>)</w:t>
            </w:r>
          </w:p>
        </w:tc>
        <w:tc>
          <w:tcPr>
            <w:tcW w:w="6162" w:type="dxa"/>
            <w:gridSpan w:val="1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jc w:val="center"/>
        </w:trPr>
        <w:tc>
          <w:tcPr>
            <w:tcW w:w="1641" w:type="dxa"/>
            <w:vMerge w:val="continue"/>
            <w:tcBorders>
              <w:left w:val="single" w:color="auto" w:sz="4" w:space="0"/>
              <w:right w:val="single" w:color="auto" w:sz="4" w:space="0"/>
            </w:tcBorders>
          </w:tcPr>
          <w:p>
            <w:pPr>
              <w:widowControl/>
              <w:snapToGrid w:val="0"/>
              <w:jc w:val="center"/>
              <w:rPr>
                <w:rFonts w:ascii="宋体" w:hAnsi="宋体" w:cs="宋体"/>
                <w:kern w:val="0"/>
                <w:sz w:val="18"/>
                <w:szCs w:val="18"/>
              </w:rPr>
            </w:pPr>
          </w:p>
        </w:tc>
        <w:tc>
          <w:tcPr>
            <w:tcW w:w="1024"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构筑物</w:t>
            </w:r>
          </w:p>
          <w:p>
            <w:pPr>
              <w:widowControl/>
              <w:snapToGrid w:val="0"/>
              <w:jc w:val="center"/>
              <w:rPr>
                <w:rFonts w:ascii="宋体" w:hAnsi="宋体" w:cs="宋体"/>
                <w:kern w:val="0"/>
                <w:sz w:val="18"/>
                <w:szCs w:val="18"/>
              </w:rPr>
            </w:pPr>
            <w:r>
              <w:rPr>
                <w:rFonts w:hint="eastAsia" w:ascii="宋体" w:hAnsi="宋体" w:cs="宋体"/>
                <w:kern w:val="0"/>
                <w:sz w:val="18"/>
                <w:szCs w:val="18"/>
              </w:rPr>
              <w:t>类型</w:t>
            </w:r>
          </w:p>
        </w:tc>
        <w:tc>
          <w:tcPr>
            <w:tcW w:w="10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房屋结构</w:t>
            </w:r>
          </w:p>
        </w:tc>
        <w:tc>
          <w:tcPr>
            <w:tcW w:w="123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建筑面积（平方米）</w:t>
            </w:r>
          </w:p>
        </w:tc>
        <w:tc>
          <w:tcPr>
            <w:tcW w:w="1231"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套内面积（平方米）</w:t>
            </w:r>
          </w:p>
        </w:tc>
        <w:tc>
          <w:tcPr>
            <w:tcW w:w="116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公摊面积（平方米）</w:t>
            </w:r>
          </w:p>
        </w:tc>
        <w:tc>
          <w:tcPr>
            <w:tcW w:w="1464"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建筑单价（元/平方米）</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房屋总价（元）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bottom w:val="single" w:color="auto" w:sz="4" w:space="0"/>
              <w:right w:val="single" w:color="auto" w:sz="4" w:space="0"/>
            </w:tcBorders>
          </w:tcPr>
          <w:p>
            <w:pPr>
              <w:widowControl/>
              <w:snapToGrid w:val="0"/>
              <w:jc w:val="center"/>
              <w:rPr>
                <w:rFonts w:ascii="宋体" w:hAnsi="宋体" w:cs="宋体"/>
                <w:kern w:val="0"/>
                <w:sz w:val="18"/>
                <w:szCs w:val="18"/>
              </w:rPr>
            </w:pPr>
          </w:p>
        </w:tc>
        <w:tc>
          <w:tcPr>
            <w:tcW w:w="1024" w:type="dxa"/>
            <w:tcBorders>
              <w:top w:val="single" w:color="auto" w:sz="4" w:space="0"/>
              <w:left w:val="single" w:color="auto" w:sz="4" w:space="0"/>
              <w:bottom w:val="single" w:color="auto" w:sz="4" w:space="0"/>
              <w:right w:val="single" w:color="auto" w:sz="4" w:space="0"/>
            </w:tcBorders>
          </w:tcPr>
          <w:p>
            <w:pPr>
              <w:widowControl/>
              <w:snapToGrid w:val="0"/>
              <w:jc w:val="center"/>
              <w:rPr>
                <w:rFonts w:ascii="宋体" w:hAnsi="宋体" w:cs="宋体"/>
                <w:kern w:val="0"/>
                <w:sz w:val="18"/>
                <w:szCs w:val="18"/>
              </w:rPr>
            </w:pPr>
            <w:r>
              <w:rPr>
                <w:rFonts w:hint="eastAsia" w:ascii="宋体" w:hAnsi="宋体" w:cs="宋体"/>
                <w:kern w:val="0"/>
                <w:sz w:val="18"/>
                <w:szCs w:val="18"/>
              </w:rPr>
              <w:t>住宅</w:t>
            </w:r>
          </w:p>
        </w:tc>
        <w:tc>
          <w:tcPr>
            <w:tcW w:w="1026" w:type="dxa"/>
            <w:tcBorders>
              <w:top w:val="single" w:color="auto" w:sz="4" w:space="0"/>
              <w:left w:val="single" w:color="auto" w:sz="4" w:space="0"/>
              <w:bottom w:val="single" w:color="auto" w:sz="4" w:space="0"/>
              <w:right w:val="single" w:color="auto" w:sz="4" w:space="0"/>
            </w:tcBorders>
          </w:tcPr>
          <w:p>
            <w:pPr>
              <w:widowControl/>
              <w:snapToGrid w:val="0"/>
              <w:jc w:val="center"/>
              <w:rPr>
                <w:rFonts w:ascii="宋体" w:hAnsi="宋体" w:cs="宋体"/>
                <w:kern w:val="0"/>
                <w:sz w:val="18"/>
                <w:szCs w:val="18"/>
              </w:rPr>
            </w:pPr>
          </w:p>
        </w:tc>
        <w:tc>
          <w:tcPr>
            <w:tcW w:w="1231" w:type="dxa"/>
            <w:gridSpan w:val="2"/>
            <w:tcBorders>
              <w:top w:val="single" w:color="auto" w:sz="4" w:space="0"/>
              <w:left w:val="single" w:color="auto" w:sz="4" w:space="0"/>
              <w:bottom w:val="single" w:color="auto" w:sz="4" w:space="0"/>
              <w:right w:val="single" w:color="auto" w:sz="4" w:space="0"/>
            </w:tcBorders>
          </w:tcPr>
          <w:p>
            <w:pPr>
              <w:widowControl/>
              <w:snapToGrid w:val="0"/>
              <w:jc w:val="left"/>
              <w:rPr>
                <w:rFonts w:ascii="宋体" w:hAnsi="宋体" w:cs="宋体"/>
                <w:kern w:val="0"/>
                <w:sz w:val="18"/>
                <w:szCs w:val="18"/>
              </w:rPr>
            </w:pPr>
          </w:p>
        </w:tc>
        <w:tc>
          <w:tcPr>
            <w:tcW w:w="1231" w:type="dxa"/>
            <w:gridSpan w:val="3"/>
            <w:tcBorders>
              <w:top w:val="single" w:color="auto" w:sz="4" w:space="0"/>
              <w:left w:val="single" w:color="auto" w:sz="4" w:space="0"/>
              <w:bottom w:val="single" w:color="auto" w:sz="4" w:space="0"/>
              <w:right w:val="single" w:color="auto" w:sz="4" w:space="0"/>
            </w:tcBorders>
          </w:tcPr>
          <w:p>
            <w:pPr>
              <w:widowControl/>
              <w:snapToGrid w:val="0"/>
              <w:jc w:val="left"/>
              <w:rPr>
                <w:rFonts w:ascii="宋体" w:hAnsi="宋体" w:cs="宋体"/>
                <w:kern w:val="0"/>
                <w:sz w:val="18"/>
                <w:szCs w:val="18"/>
              </w:rPr>
            </w:pPr>
          </w:p>
        </w:tc>
        <w:tc>
          <w:tcPr>
            <w:tcW w:w="1163" w:type="dxa"/>
            <w:gridSpan w:val="2"/>
            <w:tcBorders>
              <w:top w:val="single" w:color="auto" w:sz="4" w:space="0"/>
              <w:left w:val="single" w:color="auto" w:sz="4" w:space="0"/>
              <w:bottom w:val="single" w:color="auto" w:sz="4" w:space="0"/>
              <w:right w:val="single" w:color="auto" w:sz="4" w:space="0"/>
            </w:tcBorders>
          </w:tcPr>
          <w:p>
            <w:pPr>
              <w:widowControl/>
              <w:snapToGrid w:val="0"/>
              <w:jc w:val="left"/>
              <w:rPr>
                <w:rFonts w:ascii="宋体" w:hAnsi="宋体" w:cs="宋体"/>
                <w:kern w:val="0"/>
                <w:sz w:val="18"/>
                <w:szCs w:val="18"/>
              </w:rPr>
            </w:pPr>
          </w:p>
        </w:tc>
        <w:tc>
          <w:tcPr>
            <w:tcW w:w="1464" w:type="dxa"/>
            <w:gridSpan w:val="5"/>
            <w:tcBorders>
              <w:top w:val="single" w:color="auto" w:sz="4" w:space="0"/>
              <w:left w:val="single" w:color="auto" w:sz="4" w:space="0"/>
              <w:bottom w:val="single" w:color="auto" w:sz="4" w:space="0"/>
              <w:right w:val="single" w:color="auto" w:sz="4" w:space="0"/>
            </w:tcBorders>
          </w:tcPr>
          <w:p>
            <w:pPr>
              <w:widowControl/>
              <w:snapToGrid w:val="0"/>
              <w:jc w:val="left"/>
              <w:rPr>
                <w:rFonts w:ascii="宋体" w:hAnsi="宋体" w:cs="宋体"/>
                <w:kern w:val="0"/>
                <w:sz w:val="18"/>
                <w:szCs w:val="18"/>
              </w:rPr>
            </w:pPr>
          </w:p>
        </w:tc>
        <w:tc>
          <w:tcPr>
            <w:tcW w:w="1070" w:type="dxa"/>
            <w:tcBorders>
              <w:top w:val="single" w:color="auto" w:sz="4" w:space="0"/>
              <w:left w:val="single" w:color="auto" w:sz="4" w:space="0"/>
              <w:bottom w:val="single" w:color="auto" w:sz="4" w:space="0"/>
              <w:right w:val="single" w:color="auto" w:sz="4" w:space="0"/>
            </w:tcBorders>
          </w:tcPr>
          <w:p>
            <w:pPr>
              <w:widowControl/>
              <w:snapToGrid w:val="0"/>
              <w:jc w:val="left"/>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5" w:hRule="atLeast"/>
          <w:jc w:val="center"/>
        </w:trPr>
        <w:tc>
          <w:tcPr>
            <w:tcW w:w="164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办理事项</w:t>
            </w:r>
          </w:p>
        </w:tc>
        <w:tc>
          <w:tcPr>
            <w:tcW w:w="8213" w:type="dxa"/>
            <w:gridSpan w:val="15"/>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 xml:space="preserve">□存量房（二手房）交易申报 </w:t>
            </w:r>
            <w:r>
              <w:rPr>
                <w:rFonts w:ascii="宋体" w:hAnsi="宋体" w:cs="宋体"/>
                <w:kern w:val="0"/>
                <w:sz w:val="18"/>
                <w:szCs w:val="18"/>
              </w:rPr>
              <w:t xml:space="preserve"> </w:t>
            </w:r>
            <w:r>
              <w:rPr>
                <w:rFonts w:hint="eastAsia" w:ascii="宋体" w:hAnsi="宋体" w:cs="宋体"/>
                <w:kern w:val="0"/>
                <w:sz w:val="18"/>
                <w:szCs w:val="18"/>
              </w:rPr>
              <w:t xml:space="preserve">□国有建设用地使用权及房屋所有权转移登记（按户登记） </w:t>
            </w:r>
            <w:r>
              <w:rPr>
                <w:rFonts w:ascii="宋体" w:hAnsi="宋体" w:cs="宋体"/>
                <w:kern w:val="0"/>
                <w:sz w:val="18"/>
                <w:szCs w:val="18"/>
              </w:rPr>
              <w:t xml:space="preserve"> </w:t>
            </w:r>
            <w:r>
              <w:rPr>
                <w:rFonts w:hint="eastAsia" w:ascii="宋体" w:hAnsi="宋体" w:cs="宋体"/>
                <w:kern w:val="0"/>
                <w:sz w:val="18"/>
                <w:szCs w:val="18"/>
              </w:rPr>
              <w:t>□电表过户 □水表过户 □天然气过户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restart"/>
            <w:tcBorders>
              <w:top w:val="single" w:color="auto" w:sz="4" w:space="0"/>
              <w:left w:val="single" w:color="auto" w:sz="4" w:space="0"/>
              <w:right w:val="single" w:color="auto" w:sz="4" w:space="0"/>
            </w:tcBorders>
            <w:vAlign w:val="center"/>
          </w:tcPr>
          <w:p>
            <w:pPr>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ind w:firstLine="360" w:firstLineChars="200"/>
              <w:jc w:val="center"/>
              <w:rPr>
                <w:rFonts w:ascii="宋体" w:hAnsi="宋体" w:cs="宋体"/>
                <w:kern w:val="0"/>
                <w:sz w:val="18"/>
                <w:szCs w:val="18"/>
              </w:rPr>
            </w:pP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18"/>
                <w:szCs w:val="18"/>
              </w:rPr>
            </w:pPr>
          </w:p>
        </w:tc>
        <w:tc>
          <w:tcPr>
            <w:tcW w:w="2055"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ind w:firstLine="360" w:firstLineChars="200"/>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vAlign w:val="center"/>
          </w:tcPr>
          <w:p>
            <w:pPr>
              <w:snapToGrid w:val="0"/>
              <w:jc w:val="center"/>
              <w:rPr>
                <w:rFonts w:ascii="宋体" w:hAnsi="宋体" w:cs="宋体"/>
                <w:kern w:val="0"/>
                <w:sz w:val="18"/>
                <w:szCs w:val="18"/>
              </w:rPr>
            </w:pP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ind w:firstLine="360" w:firstLineChars="200"/>
              <w:jc w:val="center"/>
              <w:rPr>
                <w:rFonts w:ascii="宋体" w:hAnsi="宋体" w:cs="宋体"/>
                <w:kern w:val="0"/>
                <w:sz w:val="18"/>
                <w:szCs w:val="18"/>
              </w:rPr>
            </w:pP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18"/>
                <w:szCs w:val="18"/>
              </w:rPr>
            </w:pPr>
          </w:p>
        </w:tc>
        <w:tc>
          <w:tcPr>
            <w:tcW w:w="2055"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ind w:firstLine="360" w:firstLineChars="200"/>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tcBorders>
              <w:top w:val="single" w:color="auto" w:sz="4" w:space="0"/>
              <w:left w:val="single" w:color="auto" w:sz="4" w:space="0"/>
              <w:right w:val="single" w:color="auto" w:sz="4" w:space="0"/>
            </w:tcBorders>
            <w:vAlign w:val="center"/>
          </w:tcPr>
          <w:p>
            <w:pPr>
              <w:snapToGrid w:val="0"/>
              <w:jc w:val="center"/>
              <w:rPr>
                <w:rFonts w:ascii="宋体" w:hAnsi="宋体" w:cs="宋体"/>
                <w:kern w:val="0"/>
                <w:sz w:val="18"/>
                <w:szCs w:val="18"/>
              </w:rPr>
            </w:pPr>
            <w:r>
              <w:rPr>
                <w:rFonts w:hint="eastAsia" w:ascii="宋体" w:hAnsi="宋体" w:cs="宋体"/>
                <w:kern w:val="0"/>
                <w:sz w:val="18"/>
                <w:szCs w:val="18"/>
              </w:rPr>
              <w:t>存量房（二手房）交易申报</w:t>
            </w:r>
          </w:p>
        </w:tc>
        <w:tc>
          <w:tcPr>
            <w:tcW w:w="20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卖房套次</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□家庭唯一住房</w:t>
            </w:r>
          </w:p>
          <w:p>
            <w:pPr>
              <w:widowControl/>
              <w:snapToGrid w:val="0"/>
              <w:jc w:val="left"/>
              <w:rPr>
                <w:rFonts w:ascii="宋体" w:hAnsi="宋体"/>
                <w:sz w:val="18"/>
                <w:szCs w:val="18"/>
              </w:rPr>
            </w:pPr>
            <w:r>
              <w:rPr>
                <w:rFonts w:hint="eastAsia" w:ascii="宋体" w:hAnsi="宋体"/>
                <w:sz w:val="18"/>
                <w:szCs w:val="18"/>
              </w:rPr>
              <w:t>□家庭第二套住房</w:t>
            </w:r>
          </w:p>
          <w:p>
            <w:pPr>
              <w:widowControl/>
              <w:snapToGrid w:val="0"/>
              <w:jc w:val="left"/>
              <w:rPr>
                <w:rFonts w:ascii="宋体" w:hAnsi="宋体" w:cs="宋体"/>
                <w:kern w:val="0"/>
                <w:sz w:val="18"/>
                <w:szCs w:val="18"/>
              </w:rPr>
            </w:pPr>
            <w:r>
              <w:rPr>
                <w:rFonts w:hint="eastAsia" w:ascii="宋体" w:hAnsi="宋体"/>
                <w:sz w:val="18"/>
                <w:szCs w:val="18"/>
              </w:rPr>
              <w:t>□其他</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买房套次</w:t>
            </w:r>
          </w:p>
        </w:tc>
        <w:tc>
          <w:tcPr>
            <w:tcW w:w="2055"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□家庭唯一住房</w:t>
            </w:r>
          </w:p>
          <w:p>
            <w:pPr>
              <w:widowControl/>
              <w:snapToGrid w:val="0"/>
              <w:jc w:val="left"/>
              <w:rPr>
                <w:rFonts w:ascii="宋体" w:hAnsi="宋体"/>
                <w:sz w:val="18"/>
                <w:szCs w:val="18"/>
              </w:rPr>
            </w:pPr>
            <w:r>
              <w:rPr>
                <w:rFonts w:hint="eastAsia" w:ascii="宋体" w:hAnsi="宋体"/>
                <w:sz w:val="18"/>
                <w:szCs w:val="18"/>
              </w:rPr>
              <w:t>□家庭第二套住房</w:t>
            </w:r>
          </w:p>
          <w:p>
            <w:pPr>
              <w:widowControl/>
              <w:snapToGrid w:val="0"/>
              <w:jc w:val="left"/>
              <w:rPr>
                <w:rFonts w:ascii="宋体" w:hAnsi="宋体" w:cs="宋体"/>
                <w:kern w:val="0"/>
                <w:sz w:val="18"/>
                <w:szCs w:val="18"/>
              </w:rPr>
            </w:pPr>
            <w:r>
              <w:rPr>
                <w:rFonts w:hint="eastAsia" w:ascii="宋体" w:hAnsi="宋体"/>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5" w:hRule="atLeast"/>
          <w:jc w:val="center"/>
        </w:trPr>
        <w:tc>
          <w:tcPr>
            <w:tcW w:w="1641" w:type="dxa"/>
            <w:vMerge w:val="restart"/>
            <w:tcBorders>
              <w:top w:val="single" w:color="auto" w:sz="4" w:space="0"/>
              <w:left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国有建设用地使用权及房屋所有权转移登记</w:t>
            </w:r>
          </w:p>
          <w:p>
            <w:pPr>
              <w:widowControl/>
              <w:snapToGrid w:val="0"/>
              <w:jc w:val="center"/>
              <w:rPr>
                <w:rFonts w:ascii="宋体" w:hAnsi="宋体" w:cs="宋体"/>
                <w:b/>
                <w:bCs/>
                <w:kern w:val="0"/>
                <w:sz w:val="18"/>
                <w:szCs w:val="18"/>
              </w:rPr>
            </w:pPr>
            <w:r>
              <w:rPr>
                <w:rFonts w:hint="eastAsia" w:ascii="宋体" w:hAnsi="宋体"/>
                <w:sz w:val="18"/>
                <w:szCs w:val="18"/>
              </w:rPr>
              <w:t>（按户登记）</w:t>
            </w:r>
          </w:p>
        </w:tc>
        <w:tc>
          <w:tcPr>
            <w:tcW w:w="2051" w:type="dxa"/>
            <w:gridSpan w:val="2"/>
            <w:tcBorders>
              <w:top w:val="single" w:color="auto" w:sz="4" w:space="0"/>
              <w:left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申请登记事由</w:t>
            </w:r>
          </w:p>
        </w:tc>
        <w:tc>
          <w:tcPr>
            <w:tcW w:w="6162" w:type="dxa"/>
            <w:gridSpan w:val="13"/>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 xml:space="preserve">□国有建设用地使用权 </w:t>
            </w:r>
            <w:r>
              <w:rPr>
                <w:rFonts w:ascii="宋体" w:hAnsi="宋体"/>
                <w:sz w:val="18"/>
                <w:szCs w:val="18"/>
              </w:rPr>
              <w:t xml:space="preserve">  </w:t>
            </w:r>
            <w:r>
              <w:rPr>
                <w:rFonts w:hint="eastAsia" w:ascii="宋体" w:hAnsi="宋体"/>
                <w:sz w:val="18"/>
                <w:szCs w:val="18"/>
              </w:rPr>
              <w:t>□房屋所有权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snapToGrid w:val="0"/>
              <w:jc w:val="center"/>
              <w:rPr>
                <w:rFonts w:ascii="宋体" w:hAnsi="宋体"/>
                <w:szCs w:val="21"/>
              </w:rPr>
            </w:pPr>
          </w:p>
        </w:tc>
        <w:tc>
          <w:tcPr>
            <w:tcW w:w="2051" w:type="dxa"/>
            <w:gridSpan w:val="2"/>
            <w:tcBorders>
              <w:top w:val="single" w:color="auto" w:sz="4" w:space="0"/>
              <w:left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原不动产权证书号</w:t>
            </w:r>
          </w:p>
        </w:tc>
        <w:tc>
          <w:tcPr>
            <w:tcW w:w="2053"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p>
        </w:tc>
        <w:tc>
          <w:tcPr>
            <w:tcW w:w="2068"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总套数</w:t>
            </w:r>
          </w:p>
        </w:tc>
        <w:tc>
          <w:tcPr>
            <w:tcW w:w="2040"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snapToGrid w:val="0"/>
              <w:jc w:val="center"/>
              <w:rPr>
                <w:rFonts w:ascii="宋体" w:hAnsi="宋体"/>
                <w:szCs w:val="21"/>
              </w:rPr>
            </w:pPr>
          </w:p>
        </w:tc>
        <w:tc>
          <w:tcPr>
            <w:tcW w:w="2051" w:type="dxa"/>
            <w:gridSpan w:val="2"/>
            <w:vMerge w:val="restart"/>
            <w:tcBorders>
              <w:top w:val="single" w:color="auto" w:sz="4" w:space="0"/>
              <w:left w:val="single" w:color="auto" w:sz="4" w:space="0"/>
              <w:right w:val="single" w:color="auto" w:sz="4" w:space="0"/>
            </w:tcBorders>
            <w:vAlign w:val="center"/>
          </w:tcPr>
          <w:p>
            <w:pPr>
              <w:widowControl/>
              <w:snapToGrid w:val="0"/>
              <w:jc w:val="center"/>
              <w:rPr>
                <w:rFonts w:ascii="宋体" w:hAnsi="宋体" w:cs="宋体"/>
                <w:b/>
                <w:bCs/>
                <w:kern w:val="0"/>
                <w:sz w:val="18"/>
                <w:szCs w:val="18"/>
              </w:rPr>
            </w:pPr>
            <w:r>
              <w:rPr>
                <w:rFonts w:hint="eastAsia" w:ascii="宋体" w:hAnsi="宋体"/>
                <w:sz w:val="18"/>
                <w:szCs w:val="18"/>
              </w:rPr>
              <w:t>地役权情况</w:t>
            </w:r>
          </w:p>
        </w:tc>
        <w:tc>
          <w:tcPr>
            <w:tcW w:w="123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ascii="宋体" w:hAnsi="宋体"/>
                <w:sz w:val="18"/>
                <w:szCs w:val="18"/>
              </w:rPr>
              <w:t>需役地坐落</w:t>
            </w:r>
          </w:p>
        </w:tc>
        <w:tc>
          <w:tcPr>
            <w:tcW w:w="4930" w:type="dxa"/>
            <w:gridSpan w:val="11"/>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snapToGrid w:val="0"/>
              <w:jc w:val="center"/>
              <w:rPr>
                <w:rFonts w:ascii="宋体" w:hAnsi="宋体"/>
                <w:szCs w:val="21"/>
              </w:rPr>
            </w:pPr>
          </w:p>
        </w:tc>
        <w:tc>
          <w:tcPr>
            <w:tcW w:w="2051" w:type="dxa"/>
            <w:gridSpan w:val="2"/>
            <w:vMerge w:val="continue"/>
            <w:tcBorders>
              <w:left w:val="single" w:color="auto" w:sz="4" w:space="0"/>
              <w:bottom w:val="single" w:color="auto" w:sz="4" w:space="0"/>
              <w:right w:val="single" w:color="auto" w:sz="4" w:space="0"/>
            </w:tcBorders>
          </w:tcPr>
          <w:p>
            <w:pPr>
              <w:widowControl/>
              <w:snapToGrid w:val="0"/>
              <w:jc w:val="center"/>
              <w:rPr>
                <w:rFonts w:ascii="宋体" w:hAnsi="宋体" w:cs="宋体"/>
                <w:b/>
                <w:bCs/>
                <w:kern w:val="0"/>
                <w:sz w:val="18"/>
                <w:szCs w:val="18"/>
              </w:rPr>
            </w:pPr>
          </w:p>
        </w:tc>
        <w:tc>
          <w:tcPr>
            <w:tcW w:w="1908"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ascii="宋体" w:hAnsi="宋体"/>
                <w:sz w:val="18"/>
                <w:szCs w:val="18"/>
              </w:rPr>
              <w:t>需役地不动产单元号</w:t>
            </w:r>
          </w:p>
        </w:tc>
        <w:tc>
          <w:tcPr>
            <w:tcW w:w="4253" w:type="dxa"/>
            <w:gridSpan w:val="10"/>
            <w:tcBorders>
              <w:top w:val="single" w:color="auto" w:sz="4" w:space="0"/>
              <w:left w:val="single" w:color="auto" w:sz="4" w:space="0"/>
              <w:bottom w:val="single" w:color="auto" w:sz="4" w:space="0"/>
              <w:right w:val="single" w:color="auto" w:sz="4" w:space="0"/>
            </w:tcBorders>
          </w:tcPr>
          <w:p>
            <w:pPr>
              <w:widowControl/>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snapToGrid w:val="0"/>
              <w:jc w:val="center"/>
              <w:rPr>
                <w:rFonts w:ascii="宋体" w:hAnsi="宋体"/>
                <w:szCs w:val="21"/>
              </w:rPr>
            </w:pPr>
          </w:p>
        </w:tc>
        <w:tc>
          <w:tcPr>
            <w:tcW w:w="2051" w:type="dxa"/>
            <w:gridSpan w:val="2"/>
            <w:vMerge w:val="restart"/>
            <w:tcBorders>
              <w:top w:val="single" w:color="auto" w:sz="4" w:space="0"/>
              <w:left w:val="single" w:color="auto" w:sz="4" w:space="0"/>
              <w:right w:val="single" w:color="auto" w:sz="4" w:space="0"/>
            </w:tcBorders>
            <w:vAlign w:val="center"/>
          </w:tcPr>
          <w:p>
            <w:pPr>
              <w:widowControl/>
              <w:snapToGrid w:val="0"/>
              <w:jc w:val="center"/>
              <w:rPr>
                <w:rFonts w:ascii="宋体" w:hAnsi="宋体" w:cs="宋体"/>
                <w:b/>
                <w:bCs/>
                <w:kern w:val="0"/>
                <w:sz w:val="18"/>
                <w:szCs w:val="18"/>
              </w:rPr>
            </w:pPr>
            <w:r>
              <w:rPr>
                <w:rFonts w:hint="eastAsia" w:ascii="宋体" w:hAnsi="宋体"/>
                <w:sz w:val="18"/>
                <w:szCs w:val="18"/>
              </w:rPr>
              <w:t>水电气申请情况</w:t>
            </w:r>
          </w:p>
        </w:tc>
        <w:tc>
          <w:tcPr>
            <w:tcW w:w="1154"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用水编号</w:t>
            </w:r>
          </w:p>
        </w:tc>
        <w:tc>
          <w:tcPr>
            <w:tcW w:w="1581"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p>
        </w:tc>
        <w:tc>
          <w:tcPr>
            <w:tcW w:w="1711"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用电户号</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1641" w:type="dxa"/>
            <w:vMerge w:val="continue"/>
            <w:tcBorders>
              <w:left w:val="single" w:color="auto" w:sz="4" w:space="0"/>
              <w:right w:val="single" w:color="auto" w:sz="4" w:space="0"/>
            </w:tcBorders>
          </w:tcPr>
          <w:p>
            <w:pPr>
              <w:snapToGrid w:val="0"/>
              <w:jc w:val="center"/>
              <w:rPr>
                <w:rFonts w:ascii="宋体" w:hAnsi="宋体"/>
                <w:szCs w:val="21"/>
              </w:rPr>
            </w:pPr>
          </w:p>
        </w:tc>
        <w:tc>
          <w:tcPr>
            <w:tcW w:w="2051" w:type="dxa"/>
            <w:gridSpan w:val="2"/>
            <w:vMerge w:val="continue"/>
            <w:tcBorders>
              <w:left w:val="single" w:color="auto" w:sz="4" w:space="0"/>
              <w:bottom w:val="single" w:color="auto" w:sz="4" w:space="0"/>
              <w:right w:val="single" w:color="auto" w:sz="4" w:space="0"/>
            </w:tcBorders>
            <w:vAlign w:val="center"/>
          </w:tcPr>
          <w:p>
            <w:pPr>
              <w:widowControl/>
              <w:snapToGrid w:val="0"/>
              <w:jc w:val="center"/>
              <w:rPr>
                <w:rFonts w:ascii="宋体" w:hAnsi="宋体" w:cs="宋体"/>
                <w:b/>
                <w:bCs/>
                <w:kern w:val="0"/>
                <w:sz w:val="18"/>
                <w:szCs w:val="18"/>
              </w:rPr>
            </w:pPr>
          </w:p>
        </w:tc>
        <w:tc>
          <w:tcPr>
            <w:tcW w:w="1908"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燃气用户代码</w:t>
            </w:r>
          </w:p>
        </w:tc>
        <w:tc>
          <w:tcPr>
            <w:tcW w:w="4253" w:type="dxa"/>
            <w:gridSpan w:val="10"/>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p>
        </w:tc>
      </w:tr>
    </w:tbl>
    <w:p>
      <w:pPr>
        <w:pStyle w:val="316"/>
        <w:numPr>
          <w:ilvl w:val="0"/>
          <w:numId w:val="0"/>
        </w:numPr>
        <w:spacing w:before="156" w:after="156"/>
      </w:pPr>
      <w:r>
        <w:rPr>
          <w:rFonts w:hint="eastAsia" w:hAnsi="黑体"/>
        </w:rPr>
        <w:t>表B</w:t>
      </w:r>
      <w:r>
        <w:rPr>
          <w:rFonts w:hAnsi="黑体"/>
        </w:rPr>
        <w:t xml:space="preserve">.1  </w:t>
      </w:r>
      <w:r>
        <w:rPr>
          <w:rFonts w:hint="eastAsia"/>
        </w:rPr>
        <w:t>二手房交易及水电气联动过户“全链通办”申请表</w:t>
      </w:r>
      <w:r>
        <w:rPr>
          <w:rFonts w:ascii="宋体" w:hAnsi="宋体" w:eastAsia="宋体"/>
        </w:rPr>
        <w:t>(续)</w:t>
      </w:r>
    </w:p>
    <w:tbl>
      <w:tblPr>
        <w:tblStyle w:val="88"/>
        <w:tblW w:w="9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985"/>
        <w:gridCol w:w="1315"/>
        <w:gridCol w:w="264"/>
        <w:gridCol w:w="855"/>
        <w:gridCol w:w="1555"/>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restart"/>
            <w:tcBorders>
              <w:left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国有建设用地使用权及房屋所有权转移登记</w:t>
            </w:r>
          </w:p>
          <w:p>
            <w:pPr>
              <w:pStyle w:val="2"/>
              <w:jc w:val="center"/>
            </w:pPr>
            <w:r>
              <w:rPr>
                <w:rFonts w:hint="eastAsia" w:ascii="宋体" w:hAnsi="宋体"/>
                <w:sz w:val="18"/>
                <w:szCs w:val="18"/>
              </w:rPr>
              <w:t>（按户登记）</w:t>
            </w:r>
          </w:p>
        </w:tc>
        <w:tc>
          <w:tcPr>
            <w:tcW w:w="1985" w:type="dxa"/>
            <w:vMerge w:val="restart"/>
            <w:tcBorders>
              <w:top w:val="single" w:color="auto" w:sz="4" w:space="0"/>
              <w:left w:val="single" w:color="auto" w:sz="4" w:space="0"/>
              <w:right w:val="single" w:color="auto" w:sz="4" w:space="0"/>
            </w:tcBorders>
            <w:vAlign w:val="center"/>
          </w:tcPr>
          <w:p>
            <w:pPr>
              <w:widowControl/>
              <w:snapToGrid w:val="0"/>
              <w:jc w:val="center"/>
              <w:rPr>
                <w:rFonts w:ascii="宋体" w:hAnsi="宋体" w:cs="宋体"/>
                <w:b/>
                <w:bCs/>
                <w:kern w:val="0"/>
                <w:sz w:val="18"/>
                <w:szCs w:val="18"/>
              </w:rPr>
            </w:pPr>
            <w:r>
              <w:rPr>
                <w:rFonts w:hint="eastAsia" w:ascii="宋体" w:hAnsi="宋体"/>
                <w:sz w:val="18"/>
                <w:szCs w:val="18"/>
              </w:rPr>
              <w:t>询问记录</w:t>
            </w:r>
          </w:p>
        </w:tc>
        <w:tc>
          <w:tcPr>
            <w:tcW w:w="2434"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询问事项</w:t>
            </w:r>
          </w:p>
        </w:tc>
        <w:tc>
          <w:tcPr>
            <w:tcW w:w="3528"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询问结果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vMerge w:val="continue"/>
            <w:tcBorders>
              <w:left w:val="single" w:color="auto" w:sz="4" w:space="0"/>
              <w:right w:val="single" w:color="auto" w:sz="4" w:space="0"/>
            </w:tcBorders>
          </w:tcPr>
          <w:p>
            <w:pPr>
              <w:widowControl/>
              <w:snapToGrid w:val="0"/>
              <w:jc w:val="left"/>
              <w:rPr>
                <w:rFonts w:ascii="宋体" w:hAnsi="宋体"/>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napToGrid w:val="0"/>
              <w:jc w:val="left"/>
              <w:rPr>
                <w:rFonts w:ascii="宋体" w:hAnsi="宋体"/>
                <w:sz w:val="18"/>
                <w:szCs w:val="18"/>
              </w:rPr>
            </w:pPr>
            <w:r>
              <w:rPr>
                <w:rFonts w:hint="eastAsia"/>
                <w:sz w:val="18"/>
                <w:szCs w:val="18"/>
              </w:rPr>
              <w:t>1、申请登记事项是否为申请人的真实意思表示</w:t>
            </w:r>
          </w:p>
        </w:tc>
        <w:tc>
          <w:tcPr>
            <w:tcW w:w="3528"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vMerge w:val="continue"/>
            <w:tcBorders>
              <w:left w:val="single" w:color="auto" w:sz="4" w:space="0"/>
              <w:right w:val="single" w:color="auto" w:sz="4" w:space="0"/>
            </w:tcBorders>
          </w:tcPr>
          <w:p>
            <w:pPr>
              <w:widowControl/>
              <w:snapToGrid w:val="0"/>
              <w:jc w:val="left"/>
              <w:rPr>
                <w:rFonts w:ascii="宋体" w:hAnsi="宋体"/>
                <w:sz w:val="18"/>
                <w:szCs w:val="18"/>
              </w:rPr>
            </w:pPr>
          </w:p>
        </w:tc>
        <w:tc>
          <w:tcPr>
            <w:tcW w:w="157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sz w:val="18"/>
                <w:szCs w:val="18"/>
              </w:rPr>
            </w:pPr>
            <w:r>
              <w:rPr>
                <w:rFonts w:hint="eastAsia" w:ascii="宋体" w:hAnsi="宋体"/>
                <w:sz w:val="18"/>
                <w:szCs w:val="18"/>
              </w:rPr>
              <w:t>2、不动产权利共有情况</w:t>
            </w:r>
          </w:p>
        </w:tc>
        <w:tc>
          <w:tcPr>
            <w:tcW w:w="4383" w:type="dxa"/>
            <w:gridSpan w:val="3"/>
            <w:tcBorders>
              <w:top w:val="single" w:color="auto" w:sz="4" w:space="0"/>
              <w:left w:val="single" w:color="auto" w:sz="4" w:space="0"/>
              <w:bottom w:val="single" w:color="auto" w:sz="4" w:space="0"/>
              <w:right w:val="single" w:color="auto" w:sz="4" w:space="0"/>
            </w:tcBorders>
            <w:vAlign w:val="center"/>
          </w:tcPr>
          <w:p>
            <w:pPr>
              <w:snapToGrid w:val="0"/>
              <w:jc w:val="left"/>
              <w:rPr>
                <w:rStyle w:val="523"/>
                <w:rFonts w:ascii="宋体" w:hAnsi="宋体"/>
                <w:sz w:val="18"/>
                <w:szCs w:val="18"/>
              </w:rPr>
            </w:pPr>
            <w:r>
              <w:rPr>
                <w:rStyle w:val="523"/>
                <w:rFonts w:hint="eastAsia" w:ascii="宋体" w:hAnsi="宋体"/>
                <w:sz w:val="18"/>
                <w:szCs w:val="18"/>
              </w:rPr>
              <w:t>□</w:t>
            </w:r>
            <w:r>
              <w:rPr>
                <w:rStyle w:val="523"/>
                <w:rFonts w:ascii="宋体" w:hAnsi="宋体"/>
                <w:sz w:val="18"/>
                <w:szCs w:val="18"/>
              </w:rPr>
              <w:t xml:space="preserve"> 单独所有   </w:t>
            </w:r>
            <w:r>
              <w:rPr>
                <w:rStyle w:val="523"/>
                <w:rFonts w:hint="eastAsia" w:ascii="宋体" w:hAnsi="宋体"/>
                <w:sz w:val="18"/>
                <w:szCs w:val="18"/>
              </w:rPr>
              <w:t>□</w:t>
            </w:r>
            <w:r>
              <w:rPr>
                <w:rStyle w:val="523"/>
                <w:rFonts w:ascii="宋体" w:hAnsi="宋体"/>
                <w:sz w:val="18"/>
                <w:szCs w:val="18"/>
              </w:rPr>
              <w:t xml:space="preserve"> </w:t>
            </w:r>
            <w:r>
              <w:rPr>
                <w:rStyle w:val="523"/>
                <w:rFonts w:hint="eastAsia" w:ascii="宋体" w:hAnsi="宋体"/>
                <w:sz w:val="18"/>
                <w:szCs w:val="18"/>
              </w:rPr>
              <w:t>按份共有</w:t>
            </w:r>
            <w:r>
              <w:rPr>
                <w:rStyle w:val="523"/>
                <w:rFonts w:ascii="宋体" w:hAnsi="宋体"/>
                <w:sz w:val="18"/>
                <w:szCs w:val="18"/>
              </w:rPr>
              <w:t>____________________</w:t>
            </w:r>
          </w:p>
          <w:p>
            <w:pPr>
              <w:widowControl/>
              <w:snapToGrid w:val="0"/>
              <w:jc w:val="left"/>
              <w:rPr>
                <w:sz w:val="18"/>
                <w:szCs w:val="18"/>
              </w:rPr>
            </w:pPr>
            <w:r>
              <w:rPr>
                <w:rStyle w:val="523"/>
                <w:rFonts w:hint="eastAsia" w:ascii="宋体" w:hAnsi="宋体"/>
                <w:sz w:val="18"/>
                <w:szCs w:val="18"/>
              </w:rPr>
              <w:t>□</w:t>
            </w:r>
            <w:r>
              <w:rPr>
                <w:rStyle w:val="523"/>
                <w:rFonts w:ascii="宋体" w:hAnsi="宋体"/>
                <w:sz w:val="18"/>
                <w:szCs w:val="18"/>
              </w:rPr>
              <w:t xml:space="preserve"> </w:t>
            </w:r>
            <w:r>
              <w:rPr>
                <w:rStyle w:val="523"/>
                <w:rFonts w:hint="eastAsia" w:ascii="宋体" w:hAnsi="宋体"/>
                <w:sz w:val="18"/>
                <w:szCs w:val="18"/>
              </w:rPr>
              <w:t>共同共有   □</w:t>
            </w:r>
            <w:r>
              <w:rPr>
                <w:rStyle w:val="523"/>
                <w:rFonts w:ascii="宋体" w:hAnsi="宋体"/>
                <w:sz w:val="18"/>
                <w:szCs w:val="18"/>
              </w:rPr>
              <w:t xml:space="preserve"> </w:t>
            </w:r>
            <w:r>
              <w:rPr>
                <w:rStyle w:val="523"/>
                <w:rFonts w:hint="eastAsia" w:ascii="宋体" w:hAnsi="宋体"/>
                <w:sz w:val="18"/>
                <w:szCs w:val="18"/>
              </w:rPr>
              <w:t>其他共有</w:t>
            </w:r>
            <w:r>
              <w:rPr>
                <w:rStyle w:val="523"/>
                <w:rFonts w:ascii="宋体" w:hAnsi="宋体"/>
                <w:sz w:val="18"/>
                <w:szCs w:val="18"/>
              </w:rPr>
              <w:t>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vMerge w:val="continue"/>
            <w:tcBorders>
              <w:left w:val="single" w:color="auto" w:sz="4" w:space="0"/>
              <w:right w:val="single" w:color="auto" w:sz="4" w:space="0"/>
            </w:tcBorders>
          </w:tcPr>
          <w:p>
            <w:pPr>
              <w:widowControl/>
              <w:snapToGrid w:val="0"/>
              <w:jc w:val="left"/>
              <w:rPr>
                <w:rFonts w:ascii="宋体" w:hAnsi="宋体"/>
                <w:sz w:val="18"/>
                <w:szCs w:val="18"/>
              </w:rPr>
            </w:pPr>
          </w:p>
        </w:tc>
        <w:tc>
          <w:tcPr>
            <w:tcW w:w="157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sz w:val="18"/>
                <w:szCs w:val="18"/>
              </w:rPr>
            </w:pPr>
            <w:r>
              <w:rPr>
                <w:rFonts w:hint="eastAsia" w:ascii="宋体" w:hAnsi="宋体"/>
                <w:sz w:val="18"/>
                <w:szCs w:val="18"/>
              </w:rPr>
              <w:t>3、是否存在禁止或限制不动产转让的约定</w:t>
            </w:r>
          </w:p>
        </w:tc>
        <w:tc>
          <w:tcPr>
            <w:tcW w:w="4383"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left"/>
              <w:rPr>
                <w:sz w:val="18"/>
                <w:szCs w:val="18"/>
              </w:rPr>
            </w:pPr>
            <w:r>
              <w:rPr>
                <w:rFonts w:hint="eastAsia" w:ascii="宋体" w:hAnsi="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vMerge w:val="continue"/>
            <w:tcBorders>
              <w:left w:val="single" w:color="auto" w:sz="4" w:space="0"/>
              <w:right w:val="single" w:color="auto" w:sz="4" w:space="0"/>
            </w:tcBorders>
          </w:tcPr>
          <w:p>
            <w:pPr>
              <w:widowControl/>
              <w:snapToGrid w:val="0"/>
              <w:jc w:val="left"/>
              <w:rPr>
                <w:rFonts w:ascii="宋体" w:hAnsi="宋体"/>
                <w:sz w:val="18"/>
                <w:szCs w:val="18"/>
              </w:rPr>
            </w:pPr>
          </w:p>
        </w:tc>
        <w:tc>
          <w:tcPr>
            <w:tcW w:w="157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sz w:val="18"/>
                <w:szCs w:val="18"/>
              </w:rPr>
            </w:pPr>
            <w:r>
              <w:rPr>
                <w:rFonts w:hint="eastAsia" w:ascii="宋体" w:hAnsi="宋体"/>
                <w:sz w:val="18"/>
                <w:szCs w:val="18"/>
              </w:rPr>
              <w:t>4、申请转让房屋是否为个人转让自用达五年以上、并且是唯一的家庭生活用房？（转让方填写）</w:t>
            </w:r>
          </w:p>
        </w:tc>
        <w:tc>
          <w:tcPr>
            <w:tcW w:w="4383"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left"/>
              <w:rPr>
                <w:sz w:val="18"/>
                <w:szCs w:val="18"/>
              </w:rPr>
            </w:pPr>
            <w:r>
              <w:rPr>
                <w:rFonts w:hint="eastAsia" w:ascii="宋体" w:hAnsi="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vMerge w:val="continue"/>
            <w:tcBorders>
              <w:left w:val="single" w:color="auto" w:sz="4" w:space="0"/>
              <w:right w:val="single" w:color="auto" w:sz="4" w:space="0"/>
            </w:tcBorders>
          </w:tcPr>
          <w:p>
            <w:pPr>
              <w:widowControl/>
              <w:snapToGrid w:val="0"/>
              <w:jc w:val="left"/>
              <w:rPr>
                <w:rFonts w:ascii="宋体" w:hAnsi="宋体"/>
                <w:sz w:val="18"/>
                <w:szCs w:val="18"/>
              </w:rPr>
            </w:pPr>
          </w:p>
        </w:tc>
        <w:tc>
          <w:tcPr>
            <w:tcW w:w="157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sz w:val="18"/>
                <w:szCs w:val="18"/>
              </w:rPr>
            </w:pPr>
            <w:r>
              <w:rPr>
                <w:rFonts w:hint="eastAsia" w:ascii="宋体" w:hAnsi="宋体"/>
                <w:sz w:val="18"/>
                <w:szCs w:val="18"/>
              </w:rPr>
              <w:t>5、房屋是否为购买2年以上（含2年）的住房？（转让方填写）</w:t>
            </w:r>
          </w:p>
        </w:tc>
        <w:tc>
          <w:tcPr>
            <w:tcW w:w="4383"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left"/>
              <w:rPr>
                <w:sz w:val="18"/>
                <w:szCs w:val="18"/>
              </w:rPr>
            </w:pPr>
            <w:r>
              <w:rPr>
                <w:rFonts w:hint="eastAsia" w:ascii="宋体" w:hAnsi="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vMerge w:val="continue"/>
            <w:tcBorders>
              <w:left w:val="single" w:color="auto" w:sz="4" w:space="0"/>
              <w:bottom w:val="single" w:color="auto" w:sz="4" w:space="0"/>
              <w:right w:val="single" w:color="auto" w:sz="4" w:space="0"/>
            </w:tcBorders>
          </w:tcPr>
          <w:p>
            <w:pPr>
              <w:widowControl/>
              <w:snapToGrid w:val="0"/>
              <w:jc w:val="left"/>
              <w:rPr>
                <w:rFonts w:ascii="宋体" w:hAnsi="宋体"/>
                <w:sz w:val="18"/>
                <w:szCs w:val="18"/>
              </w:rPr>
            </w:pPr>
          </w:p>
        </w:tc>
        <w:tc>
          <w:tcPr>
            <w:tcW w:w="157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6、受让人购买的为家庭第几套住房？（家庭成员范围包括购房人、配偶以及未成年子女）（受让方填写）</w:t>
            </w:r>
          </w:p>
        </w:tc>
        <w:tc>
          <w:tcPr>
            <w:tcW w:w="4383"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□一套     □二套   □三套及三套以上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申请证书版式</w:t>
            </w:r>
          </w:p>
        </w:tc>
        <w:tc>
          <w:tcPr>
            <w:tcW w:w="1315"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□单一版</w:t>
            </w:r>
          </w:p>
          <w:p>
            <w:pPr>
              <w:widowControl/>
              <w:snapToGrid w:val="0"/>
              <w:jc w:val="left"/>
              <w:rPr>
                <w:rFonts w:ascii="宋体" w:hAnsi="宋体"/>
                <w:sz w:val="18"/>
                <w:szCs w:val="18"/>
              </w:rPr>
            </w:pPr>
            <w:r>
              <w:rPr>
                <w:rFonts w:hint="eastAsia" w:ascii="宋体" w:hAnsi="宋体"/>
                <w:sz w:val="18"/>
                <w:szCs w:val="18"/>
              </w:rPr>
              <w:t>□集成版</w:t>
            </w:r>
          </w:p>
        </w:tc>
        <w:tc>
          <w:tcPr>
            <w:tcW w:w="2674"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申请分别持证</w:t>
            </w:r>
          </w:p>
        </w:tc>
        <w:tc>
          <w:tcPr>
            <w:tcW w:w="1973"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hint="eastAsia" w:ascii="宋体" w:hAnsi="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sz w:val="18"/>
                <w:szCs w:val="18"/>
              </w:rPr>
            </w:pPr>
            <w:r>
              <w:rPr>
                <w:rFonts w:hint="eastAsia" w:ascii="宋体" w:hAnsi="宋体"/>
                <w:sz w:val="18"/>
                <w:szCs w:val="18"/>
              </w:rPr>
              <w:t>证书类型</w:t>
            </w:r>
          </w:p>
        </w:tc>
        <w:tc>
          <w:tcPr>
            <w:tcW w:w="5962"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r>
              <w:rPr>
                <w:rFonts w:ascii="宋体" w:hAnsi="宋体"/>
                <w:sz w:val="18"/>
                <w:szCs w:val="18"/>
              </w:rPr>
              <w:t>□</w:t>
            </w:r>
            <w:r>
              <w:rPr>
                <w:rFonts w:hint="eastAsia" w:ascii="宋体" w:hAnsi="宋体"/>
                <w:sz w:val="18"/>
                <w:szCs w:val="18"/>
              </w:rPr>
              <w:t xml:space="preserve">电子证书          </w:t>
            </w:r>
            <w:r>
              <w:rPr>
                <w:rFonts w:ascii="宋体" w:hAnsi="宋体"/>
                <w:sz w:val="18"/>
                <w:szCs w:val="18"/>
              </w:rPr>
              <w:t>□</w:t>
            </w:r>
            <w:r>
              <w:rPr>
                <w:rFonts w:hint="eastAsia" w:ascii="宋体" w:hAnsi="宋体"/>
                <w:sz w:val="18"/>
                <w:szCs w:val="18"/>
              </w:rPr>
              <w:t>纸质证书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vMerge w:val="continue"/>
            <w:tcBorders>
              <w:left w:val="single" w:color="auto" w:sz="4" w:space="0"/>
              <w:right w:val="single" w:color="auto" w:sz="4" w:space="0"/>
            </w:tcBorders>
          </w:tcPr>
          <w:p>
            <w:pPr>
              <w:snapToGrid w:val="0"/>
              <w:jc w:val="center"/>
              <w:rPr>
                <w:rFonts w:ascii="宋体" w:hAnsi="宋体"/>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pacing w:val="20"/>
                <w:sz w:val="18"/>
                <w:szCs w:val="18"/>
              </w:rPr>
            </w:pPr>
            <w:r>
              <w:rPr>
                <w:rFonts w:ascii="宋体" w:hAnsi="宋体"/>
                <w:spacing w:val="20"/>
                <w:sz w:val="18"/>
                <w:szCs w:val="18"/>
              </w:rPr>
              <w:t>登记原因</w:t>
            </w:r>
          </w:p>
        </w:tc>
        <w:tc>
          <w:tcPr>
            <w:tcW w:w="5962"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88" w:type="dxa"/>
            <w:tcBorders>
              <w:left w:val="single" w:color="auto" w:sz="4" w:space="0"/>
              <w:right w:val="single" w:color="auto" w:sz="4" w:space="0"/>
            </w:tcBorders>
            <w:vAlign w:val="center"/>
          </w:tcPr>
          <w:p>
            <w:pPr>
              <w:adjustRightInd w:val="0"/>
              <w:snapToGrid w:val="0"/>
              <w:jc w:val="center"/>
              <w:rPr>
                <w:rFonts w:ascii="宋体" w:hAnsi="宋体" w:cs="宋体"/>
                <w:sz w:val="18"/>
                <w:szCs w:val="18"/>
              </w:rPr>
            </w:pPr>
            <w:r>
              <w:rPr>
                <w:rFonts w:hint="eastAsia" w:ascii="宋体" w:hAnsi="宋体" w:cs="宋体"/>
                <w:sz w:val="18"/>
                <w:szCs w:val="18"/>
              </w:rPr>
              <w:t>承诺</w:t>
            </w:r>
          </w:p>
          <w:p>
            <w:pPr>
              <w:snapToGrid w:val="0"/>
              <w:jc w:val="center"/>
              <w:rPr>
                <w:rFonts w:ascii="宋体" w:hAnsi="宋体"/>
                <w:szCs w:val="21"/>
              </w:rPr>
            </w:pPr>
            <w:r>
              <w:rPr>
                <w:rFonts w:hint="eastAsia" w:ascii="宋体" w:hAnsi="宋体" w:cs="宋体"/>
                <w:sz w:val="18"/>
                <w:szCs w:val="18"/>
              </w:rPr>
              <w:t>信息</w:t>
            </w:r>
          </w:p>
        </w:tc>
        <w:tc>
          <w:tcPr>
            <w:tcW w:w="7947" w:type="dxa"/>
            <w:gridSpan w:val="6"/>
            <w:tcBorders>
              <w:top w:val="single" w:color="auto" w:sz="4" w:space="0"/>
              <w:left w:val="single" w:color="auto" w:sz="4" w:space="0"/>
              <w:bottom w:val="single" w:color="auto" w:sz="4" w:space="0"/>
              <w:right w:val="single" w:color="auto" w:sz="4" w:space="0"/>
            </w:tcBorders>
          </w:tcPr>
          <w:p>
            <w:pPr>
              <w:widowControl/>
              <w:snapToGrid w:val="0"/>
              <w:jc w:val="center"/>
              <w:rPr>
                <w:rFonts w:ascii="宋体" w:hAnsi="宋体"/>
                <w:sz w:val="18"/>
                <w:szCs w:val="18"/>
              </w:rPr>
            </w:pPr>
            <w:r>
              <w:rPr>
                <w:rFonts w:hint="eastAsia" w:ascii="宋体" w:hAnsi="宋体"/>
                <w:sz w:val="18"/>
                <w:szCs w:val="18"/>
              </w:rPr>
              <w:t>申请人承诺</w:t>
            </w:r>
          </w:p>
          <w:p>
            <w:pPr>
              <w:widowControl/>
              <w:snapToGrid w:val="0"/>
              <w:jc w:val="left"/>
              <w:rPr>
                <w:rFonts w:ascii="宋体" w:hAnsi="宋体"/>
                <w:sz w:val="18"/>
                <w:szCs w:val="18"/>
              </w:rPr>
            </w:pPr>
          </w:p>
          <w:p>
            <w:pPr>
              <w:widowControl/>
              <w:snapToGrid w:val="0"/>
              <w:ind w:firstLine="360" w:firstLineChars="200"/>
              <w:jc w:val="left"/>
              <w:rPr>
                <w:rFonts w:ascii="宋体" w:hAnsi="宋体"/>
                <w:sz w:val="18"/>
                <w:szCs w:val="18"/>
              </w:rPr>
            </w:pPr>
            <w:r>
              <w:rPr>
                <w:rFonts w:hint="eastAsia" w:ascii="宋体" w:hAnsi="宋体"/>
                <w:sz w:val="18"/>
                <w:szCs w:val="18"/>
              </w:rPr>
              <w:t>本申请人对填写的上述内容及提交的申请材料的真实性、有效性负责。如有不实，申请人愿承担相应法律责任。</w:t>
            </w:r>
          </w:p>
          <w:p>
            <w:pPr>
              <w:widowControl/>
              <w:snapToGrid w:val="0"/>
              <w:jc w:val="left"/>
              <w:rPr>
                <w:rFonts w:ascii="宋体" w:hAnsi="宋体"/>
                <w:sz w:val="18"/>
                <w:szCs w:val="18"/>
              </w:rPr>
            </w:pPr>
            <w:r>
              <w:rPr>
                <w:rFonts w:ascii="宋体" w:hAnsi="宋体"/>
                <w:sz w:val="18"/>
                <w:szCs w:val="18"/>
              </w:rPr>
              <w:t xml:space="preserve">   ________________________________________________________________________________________</w:t>
            </w:r>
            <w:r>
              <w:rPr>
                <w:rFonts w:hint="eastAsia" w:ascii="宋体" w:hAnsi="宋体"/>
                <w:sz w:val="18"/>
                <w:szCs w:val="18"/>
              </w:rPr>
              <w:t>______________________________________________________________________（请抄写申请人承诺）</w:t>
            </w:r>
          </w:p>
          <w:p>
            <w:pPr>
              <w:widowControl/>
              <w:snapToGrid w:val="0"/>
              <w:jc w:val="left"/>
              <w:rPr>
                <w:rFonts w:ascii="宋体" w:hAnsi="宋体"/>
                <w:sz w:val="18"/>
                <w:szCs w:val="18"/>
              </w:rPr>
            </w:pPr>
          </w:p>
          <w:p>
            <w:pPr>
              <w:widowControl/>
              <w:snapToGrid w:val="0"/>
              <w:jc w:val="left"/>
              <w:rPr>
                <w:rFonts w:ascii="宋体" w:hAnsi="宋体"/>
                <w:sz w:val="18"/>
                <w:szCs w:val="18"/>
              </w:rPr>
            </w:pPr>
            <w:r>
              <w:rPr>
                <w:rFonts w:hint="eastAsia" w:ascii="宋体" w:hAnsi="宋体"/>
                <w:sz w:val="18"/>
                <w:szCs w:val="18"/>
              </w:rPr>
              <w:t>申请人（签章）：                           申请人（签章）：</w:t>
            </w:r>
          </w:p>
          <w:p>
            <w:pPr>
              <w:widowControl/>
              <w:snapToGrid w:val="0"/>
              <w:jc w:val="left"/>
              <w:rPr>
                <w:rFonts w:ascii="宋体" w:hAnsi="宋体"/>
                <w:sz w:val="18"/>
                <w:szCs w:val="18"/>
              </w:rPr>
            </w:pPr>
            <w:r>
              <w:rPr>
                <w:rFonts w:hint="eastAsia" w:ascii="宋体" w:hAnsi="宋体"/>
                <w:sz w:val="18"/>
                <w:szCs w:val="18"/>
              </w:rPr>
              <w:t>代理人（签章）：                           代理人（签章）：</w:t>
            </w:r>
          </w:p>
          <w:p>
            <w:pPr>
              <w:widowControl/>
              <w:snapToGrid w:val="0"/>
              <w:ind w:firstLine="540" w:firstLineChars="300"/>
              <w:jc w:val="left"/>
              <w:rPr>
                <w:rFonts w:ascii="宋体" w:hAnsi="宋体"/>
                <w:sz w:val="18"/>
                <w:szCs w:val="18"/>
              </w:rPr>
            </w:pPr>
            <w:r>
              <w:rPr>
                <w:rFonts w:hint="eastAsia" w:ascii="宋体" w:hAnsi="宋体"/>
                <w:sz w:val="18"/>
                <w:szCs w:val="18"/>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1588" w:type="dxa"/>
            <w:tcBorders>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18"/>
                <w:szCs w:val="18"/>
              </w:rPr>
            </w:pPr>
            <w:r>
              <w:rPr>
                <w:rFonts w:hint="eastAsia" w:ascii="宋体" w:hAnsi="宋体"/>
                <w:sz w:val="18"/>
                <w:szCs w:val="18"/>
              </w:rPr>
              <w:t>送达方式</w:t>
            </w:r>
          </w:p>
        </w:tc>
        <w:tc>
          <w:tcPr>
            <w:tcW w:w="7947" w:type="dxa"/>
            <w:gridSpan w:val="6"/>
            <w:tcBorders>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sz w:val="18"/>
                <w:szCs w:val="18"/>
              </w:rPr>
            </w:pPr>
            <w:r>
              <w:rPr>
                <w:rFonts w:hint="eastAsia" w:ascii="宋体" w:hAnsi="宋体" w:cs="宋体"/>
                <w:sz w:val="18"/>
                <w:szCs w:val="18"/>
              </w:rPr>
              <w:t xml:space="preserve">不动产权属证书    </w:t>
            </w:r>
            <w:r>
              <w:rPr>
                <w:rFonts w:hint="eastAsia" w:ascii="宋体" w:hAnsi="宋体" w:cs="宋体"/>
                <w:sz w:val="18"/>
                <w:szCs w:val="18"/>
              </w:rPr>
              <w:sym w:font="Wingdings" w:char="00A8"/>
            </w:r>
            <w:r>
              <w:rPr>
                <w:rFonts w:hint="eastAsia" w:ascii="宋体" w:hAnsi="宋体" w:cs="宋体"/>
                <w:sz w:val="18"/>
                <w:szCs w:val="18"/>
              </w:rPr>
              <w:t xml:space="preserve"> 邮寄送达（免费）</w:t>
            </w:r>
            <w:r>
              <w:rPr>
                <w:rFonts w:hint="eastAsia" w:ascii="宋体" w:hAnsi="宋体" w:cs="宋体"/>
                <w:sz w:val="18"/>
                <w:szCs w:val="18"/>
              </w:rPr>
              <w:tab/>
            </w:r>
            <w:r>
              <w:rPr>
                <w:rFonts w:hint="eastAsia" w:ascii="宋体" w:hAnsi="宋体" w:cs="宋体"/>
                <w:sz w:val="18"/>
                <w:szCs w:val="18"/>
              </w:rPr>
              <w:t xml:space="preserve">  </w:t>
            </w:r>
            <w:r>
              <w:rPr>
                <w:rFonts w:hint="eastAsia" w:ascii="宋体" w:hAnsi="宋体" w:cs="宋体"/>
                <w:sz w:val="18"/>
                <w:szCs w:val="18"/>
              </w:rPr>
              <w:sym w:font="Wingdings" w:char="00A8"/>
            </w:r>
            <w:r>
              <w:rPr>
                <w:rFonts w:hint="eastAsia" w:ascii="宋体" w:hAnsi="宋体" w:cs="宋体"/>
                <w:sz w:val="18"/>
                <w:szCs w:val="18"/>
              </w:rPr>
              <w:t xml:space="preserve"> 自行领取</w:t>
            </w:r>
          </w:p>
          <w:p>
            <w:pPr>
              <w:tabs>
                <w:tab w:val="left" w:pos="8736"/>
              </w:tabs>
              <w:adjustRightInd w:val="0"/>
              <w:snapToGrid w:val="0"/>
              <w:jc w:val="left"/>
              <w:rPr>
                <w:rFonts w:ascii="宋体" w:hAnsi="宋体" w:cs="宋体"/>
                <w:sz w:val="18"/>
                <w:szCs w:val="18"/>
                <w:u w:val="single"/>
              </w:rPr>
            </w:pPr>
            <w:r>
              <w:rPr>
                <w:rFonts w:hint="eastAsia" w:ascii="宋体" w:hAnsi="宋体" w:cs="宋体"/>
                <w:sz w:val="18"/>
                <w:szCs w:val="18"/>
              </w:rPr>
              <w:t>邮寄地址</w:t>
            </w:r>
            <w:r>
              <w:rPr>
                <w:rFonts w:hint="eastAsia" w:ascii="宋体" w:hAnsi="宋体" w:cs="宋体"/>
                <w:w w:val="95"/>
                <w:sz w:val="18"/>
                <w:szCs w:val="18"/>
              </w:rPr>
              <w:t>：</w:t>
            </w:r>
            <w:r>
              <w:rPr>
                <w:rFonts w:hint="eastAsia" w:ascii="宋体" w:hAnsi="宋体" w:cs="宋体"/>
                <w:w w:val="95"/>
                <w:sz w:val="18"/>
                <w:szCs w:val="18"/>
                <w:u w:val="single"/>
              </w:rPr>
              <w:t xml:space="preserve">                                                                        </w:t>
            </w:r>
            <w:r>
              <w:rPr>
                <w:rFonts w:hint="eastAsia" w:ascii="宋体" w:hAnsi="宋体" w:cs="宋体"/>
                <w:w w:val="95"/>
                <w:sz w:val="18"/>
                <w:szCs w:val="18"/>
              </w:rPr>
              <w:t>。</w:t>
            </w:r>
          </w:p>
          <w:p>
            <w:pPr>
              <w:widowControl/>
              <w:adjustRightInd w:val="0"/>
              <w:snapToGrid w:val="0"/>
              <w:jc w:val="left"/>
              <w:rPr>
                <w:rFonts w:ascii="宋体" w:hAnsi="宋体" w:cs="宋体"/>
                <w:sz w:val="18"/>
                <w:szCs w:val="18"/>
              </w:rPr>
            </w:pPr>
            <w:r>
              <w:rPr>
                <w:rFonts w:hint="eastAsia" w:ascii="宋体" w:hAnsi="宋体" w:cs="宋体"/>
                <w:sz w:val="18"/>
                <w:szCs w:val="18"/>
              </w:rPr>
              <w:t xml:space="preserve">收件人： </w:t>
            </w:r>
            <w:r>
              <w:rPr>
                <w:rFonts w:hint="eastAsia" w:ascii="宋体" w:hAnsi="宋体" w:cs="宋体"/>
                <w:sz w:val="18"/>
                <w:szCs w:val="18"/>
                <w:u w:val="single"/>
              </w:rPr>
              <w:t xml:space="preserve">                      </w:t>
            </w:r>
            <w:r>
              <w:rPr>
                <w:rFonts w:hint="eastAsia" w:ascii="宋体" w:hAnsi="宋体" w:cs="宋体"/>
                <w:sz w:val="18"/>
                <w:szCs w:val="18"/>
                <w:u w:val="single"/>
              </w:rPr>
              <w:tab/>
            </w:r>
            <w:r>
              <w:rPr>
                <w:rFonts w:hint="eastAsia" w:ascii="宋体" w:hAnsi="宋体" w:cs="宋体"/>
                <w:sz w:val="18"/>
                <w:szCs w:val="18"/>
              </w:rPr>
              <w:tab/>
            </w:r>
            <w:r>
              <w:rPr>
                <w:rFonts w:hint="eastAsia" w:ascii="宋体" w:hAnsi="宋体" w:cs="宋体"/>
                <w:sz w:val="18"/>
                <w:szCs w:val="18"/>
              </w:rPr>
              <w:t>联系电话：</w:t>
            </w:r>
            <w:r>
              <w:rPr>
                <w:rFonts w:hint="eastAsia" w:ascii="宋体" w:hAnsi="宋体" w:cs="宋体"/>
                <w:sz w:val="18"/>
                <w:szCs w:val="18"/>
                <w:u w:val="single"/>
              </w:rPr>
              <w:t xml:space="preserve">                                 </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1588" w:type="dxa"/>
            <w:tcBorders>
              <w:left w:val="single" w:color="auto" w:sz="4" w:space="0"/>
              <w:bottom w:val="single" w:color="auto" w:sz="4" w:space="0"/>
              <w:right w:val="single" w:color="auto" w:sz="4" w:space="0"/>
            </w:tcBorders>
            <w:vAlign w:val="center"/>
          </w:tcPr>
          <w:p>
            <w:pPr>
              <w:snapToGrid w:val="0"/>
              <w:jc w:val="center"/>
              <w:rPr>
                <w:rFonts w:ascii="宋体" w:hAnsi="宋体"/>
                <w:szCs w:val="21"/>
              </w:rPr>
            </w:pPr>
            <w:r>
              <w:rPr>
                <w:rFonts w:hint="eastAsia" w:ascii="宋体" w:hAnsi="宋体"/>
                <w:sz w:val="18"/>
                <w:szCs w:val="18"/>
              </w:rPr>
              <w:t>备注</w:t>
            </w:r>
          </w:p>
        </w:tc>
        <w:tc>
          <w:tcPr>
            <w:tcW w:w="7947" w:type="dxa"/>
            <w:gridSpan w:val="6"/>
            <w:tcBorders>
              <w:top w:val="single" w:color="auto" w:sz="4" w:space="0"/>
              <w:left w:val="single" w:color="auto" w:sz="4" w:space="0"/>
              <w:bottom w:val="single" w:color="auto" w:sz="4" w:space="0"/>
              <w:right w:val="single" w:color="auto" w:sz="4" w:space="0"/>
            </w:tcBorders>
            <w:vAlign w:val="center"/>
          </w:tcPr>
          <w:p>
            <w:pPr>
              <w:widowControl/>
              <w:snapToGrid w:val="0"/>
              <w:ind w:firstLine="540" w:firstLineChars="300"/>
              <w:jc w:val="center"/>
              <w:rPr>
                <w:rFonts w:ascii="宋体" w:hAnsi="宋体"/>
                <w:sz w:val="18"/>
                <w:szCs w:val="18"/>
              </w:rPr>
            </w:pPr>
          </w:p>
        </w:tc>
      </w:tr>
      <w:bookmarkEnd w:id="140"/>
    </w:tbl>
    <w:p>
      <w:pPr>
        <w:pStyle w:val="258"/>
        <w:ind w:firstLine="0" w:firstLineChars="0"/>
      </w:pPr>
    </w:p>
    <w:p>
      <w:pPr>
        <w:pStyle w:val="258"/>
        <w:ind w:firstLine="420"/>
        <w:sectPr>
          <w:footerReference r:id="rId5" w:type="default"/>
          <w:footerReference r:id="rId6" w:type="even"/>
          <w:pgSz w:w="11907" w:h="16839"/>
          <w:pgMar w:top="1417" w:right="1134" w:bottom="1134" w:left="1417" w:header="1417" w:footer="1134" w:gutter="0"/>
          <w:pgNumType w:start="1"/>
          <w:cols w:space="425" w:num="1"/>
          <w:docGrid w:type="lines" w:linePitch="312" w:charSpace="0"/>
        </w:sectPr>
      </w:pPr>
    </w:p>
    <w:p>
      <w:pPr>
        <w:pStyle w:val="347"/>
      </w:pPr>
    </w:p>
    <w:p>
      <w:pPr>
        <w:pStyle w:val="348"/>
      </w:pPr>
    </w:p>
    <w:p>
      <w:pPr>
        <w:pStyle w:val="274"/>
      </w:pPr>
      <w:r>
        <w:br w:type="textWrapping"/>
      </w:r>
      <w:bookmarkStart w:id="141" w:name="_Toc107056571"/>
      <w:bookmarkStart w:id="142" w:name="_Toc106812316"/>
      <w:bookmarkStart w:id="143" w:name="_Toc105493598"/>
      <w:bookmarkStart w:id="144" w:name="_Toc107056529"/>
      <w:r>
        <w:rPr>
          <w:rFonts w:hint="eastAsia"/>
        </w:rPr>
        <w:t>（资料性）</w:t>
      </w:r>
      <w:r>
        <w:br w:type="textWrapping"/>
      </w:r>
      <w:r>
        <w:rPr>
          <w:rFonts w:hint="eastAsia"/>
        </w:rPr>
        <w:t>二手房交易及水电气联动过户“全链通办”业务流程图</w:t>
      </w:r>
      <w:bookmarkEnd w:id="141"/>
      <w:bookmarkEnd w:id="142"/>
      <w:bookmarkEnd w:id="143"/>
      <w:bookmarkEnd w:id="144"/>
    </w:p>
    <w:p>
      <w:r>
        <w:rPr>
          <w:rFonts w:hint="eastAsia"/>
        </w:rPr>
        <w:t>二手房交易及水电气联动过户“全链通办”业务流程图详见图C</w:t>
      </w:r>
      <w:r>
        <w:t>.1</w:t>
      </w:r>
      <w:r>
        <w:rPr>
          <w:rFonts w:hint="eastAsia"/>
        </w:rPr>
        <w:t>。</w:t>
      </w:r>
    </w:p>
    <w:p>
      <w:pPr>
        <w:pStyle w:val="258"/>
        <w:adjustRightInd w:val="0"/>
        <w:snapToGrid w:val="0"/>
        <w:ind w:firstLine="0" w:firstLineChars="0"/>
        <w:jc w:val="center"/>
      </w:pPr>
      <w:r>
        <w:drawing>
          <wp:inline distT="0" distB="0" distL="114300" distR="114300">
            <wp:extent cx="4678680" cy="6328410"/>
            <wp:effectExtent l="0" t="0" r="7620" b="15240"/>
            <wp:docPr id="1" name="图片 1" descr="图片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图片2"/>
                    <pic:cNvPicPr>
                      <a:picLocks noChangeAspect="true"/>
                    </pic:cNvPicPr>
                  </pic:nvPicPr>
                  <pic:blipFill>
                    <a:blip r:embed="rId9"/>
                    <a:stretch>
                      <a:fillRect/>
                    </a:stretch>
                  </pic:blipFill>
                  <pic:spPr>
                    <a:xfrm>
                      <a:off x="0" y="0"/>
                      <a:ext cx="4678680" cy="6328410"/>
                    </a:xfrm>
                    <a:prstGeom prst="rect">
                      <a:avLst/>
                    </a:prstGeom>
                  </pic:spPr>
                </pic:pic>
              </a:graphicData>
            </a:graphic>
          </wp:inline>
        </w:drawing>
      </w:r>
    </w:p>
    <w:p>
      <w:pPr>
        <w:pStyle w:val="281"/>
        <w:spacing w:before="156" w:after="156"/>
      </w:pPr>
      <w:r>
        <w:rPr>
          <w:rFonts w:hint="eastAsia"/>
        </w:rPr>
        <w:t>二手房交易及水电气联动过户“全链通办”业务流程图</w:t>
      </w:r>
    </w:p>
    <w:p/>
    <w:p>
      <w:pPr>
        <w:pStyle w:val="2"/>
      </w:pPr>
    </w:p>
    <w:p>
      <w:pPr>
        <w:jc w:val="center"/>
        <w:rPr>
          <w:rFonts w:ascii="宋体" w:hAnsi="宋体"/>
        </w:rPr>
      </w:pPr>
      <w:bookmarkStart w:id="145" w:name="终结线"/>
      <w:bookmarkEnd w:id="145"/>
      <w:r>
        <w:rPr>
          <w:rFonts w:hint="eastAsia" w:ascii="黑体" w:hAnsi="黑体" w:eastAsia="黑体"/>
          <w:b/>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汉仪仿宋S"/>
    <w:panose1 w:val="00000000000000000000"/>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2000009F" w:csb1="DFD70000"/>
  </w:font>
  <w:font w:name="Arial Unicode MS">
    <w:altName w:val="Times New Roman"/>
    <w:panose1 w:val="020B0604020202020204"/>
    <w:charset w:val="86"/>
    <w:family w:val="roman"/>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Noto Nastaliq Urdu">
    <w:panose1 w:val="020B0802040504020204"/>
    <w:charset w:val="00"/>
    <w:family w:val="auto"/>
    <w:pitch w:val="default"/>
    <w:sig w:usb0="80002003" w:usb1="80002040" w:usb2="00000000" w:usb3="00000000" w:csb0="0000004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3</w:t>
    </w:r>
    <w:r>
      <w:rPr>
        <w:rStyle w:val="234"/>
      </w:rPr>
      <w:fldChar w:fldCharType="end"/>
    </w:r>
  </w:p>
  <w:p>
    <w:pPr>
      <w:pStyle w:val="252"/>
      <w:ind w:right="360" w:firstLine="360"/>
      <w:rPr>
        <w:rStyle w:val="23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4</w:t>
    </w:r>
    <w:r>
      <w:rPr>
        <w:rStyle w:val="234"/>
      </w:rPr>
      <w:fldChar w:fldCharType="end"/>
    </w:r>
  </w:p>
  <w:p>
    <w:pPr>
      <w:pStyle w:val="251"/>
      <w:ind w:right="360" w:firstLine="360"/>
      <w:rPr>
        <w:rStyle w:val="23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4735"/>
        </w:tabs>
        <w:ind w:left="4735" w:leftChars="800" w:hanging="360" w:hangingChars="200"/>
      </w:pPr>
    </w:lvl>
  </w:abstractNum>
  <w:abstractNum w:abstractNumId="1">
    <w:nsid w:val="FFFFFF7D"/>
    <w:multiLevelType w:val="singleLevel"/>
    <w:tmpl w:val="FFFFFF7D"/>
    <w:lvl w:ilvl="0" w:tentative="0">
      <w:start w:val="1"/>
      <w:numFmt w:val="decimal"/>
      <w:pStyle w:val="52"/>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3"/>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1"/>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1"/>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4"/>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40"/>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7"/>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7"/>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1"/>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rPr>
        <w:rFonts w:ascii="黑体" w:hAnsi="黑体" w:eastAsia="黑体" w:cs="Times New Roman"/>
        <w:b w:val="0"/>
        <w:bCs w:val="0"/>
        <w:i w:val="0"/>
        <w:iCs w:val="0"/>
        <w:caps w:val="0"/>
        <w:smallCaps w:val="0"/>
        <w:strike w:val="0"/>
        <w:dstrike w:val="0"/>
        <w:vanish w:val="0"/>
        <w:color w:val="000000"/>
        <w:spacing w:val="0"/>
        <w:position w:val="0"/>
        <w:u w:val="none"/>
        <w:vertAlign w:val="baseline"/>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850" w:firstLine="0"/>
      </w:pPr>
      <w:rPr>
        <w:rFonts w:hint="eastAsia" w:ascii="黑体" w:hAnsi="Times New Roman" w:eastAsia="黑体"/>
        <w:b w:val="0"/>
        <w:i w:val="0"/>
        <w:sz w:val="21"/>
      </w:rPr>
    </w:lvl>
    <w:lvl w:ilvl="5" w:tentative="0">
      <w:start w:val="1"/>
      <w:numFmt w:val="decimal"/>
      <w:pStyle w:val="300"/>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6">
    <w:nsid w:val="2A8F7113"/>
    <w:multiLevelType w:val="multilevel"/>
    <w:tmpl w:val="2A8F7113"/>
    <w:lvl w:ilvl="0" w:tentative="0">
      <w:start w:val="1"/>
      <w:numFmt w:val="upperLetter"/>
      <w:pStyle w:val="348"/>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81"/>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rPr>
    </w:lvl>
    <w:lvl w:ilvl="1" w:tentative="0">
      <w:start w:val="1"/>
      <w:numFmt w:val="decimal"/>
      <w:pStyle w:val="510"/>
      <w:lvlText w:val="(%1.%2)"/>
      <w:lvlJc w:val="left"/>
      <w:rPr>
        <w:rFonts w:hAnsi="Times New Roman" w:cs="Times New Roman"/>
        <w:b w:val="0"/>
        <w:bCs w:val="0"/>
        <w:i w:val="0"/>
        <w:iCs w:val="0"/>
        <w:caps w:val="0"/>
        <w:smallCaps w:val="0"/>
        <w:strike w:val="0"/>
        <w:dstrike w:val="0"/>
        <w:vanish w:val="0"/>
        <w:color w:val="000000"/>
        <w:spacing w:val="0"/>
        <w:kern w:val="0"/>
        <w:position w:val="0"/>
        <w:u w:val="none"/>
        <w:vertAlign w:val="baseline"/>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rPr>
    </w:lvl>
    <w:lvl w:ilvl="2" w:tentative="0">
      <w:start w:val="1"/>
      <w:numFmt w:val="decimal"/>
      <w:pStyle w:val="317"/>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6">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3"/>
  </w:num>
  <w:num w:numId="13">
    <w:abstractNumId w:val="22"/>
  </w:num>
  <w:num w:numId="14">
    <w:abstractNumId w:val="16"/>
  </w:num>
  <w:num w:numId="15">
    <w:abstractNumId w:val="26"/>
  </w:num>
  <w:num w:numId="16">
    <w:abstractNumId w:val="13"/>
  </w:num>
  <w:num w:numId="17">
    <w:abstractNumId w:val="18"/>
  </w:num>
  <w:num w:numId="18">
    <w:abstractNumId w:val="21"/>
  </w:num>
  <w:num w:numId="19">
    <w:abstractNumId w:val="12"/>
  </w:num>
  <w:num w:numId="20">
    <w:abstractNumId w:val="20"/>
  </w:num>
  <w:num w:numId="21">
    <w:abstractNumId w:val="24"/>
  </w:num>
  <w:num w:numId="22">
    <w:abstractNumId w:val="10"/>
  </w:num>
  <w:num w:numId="23">
    <w:abstractNumId w:val="19"/>
  </w:num>
  <w:num w:numId="24">
    <w:abstractNumId w:val="25"/>
  </w:num>
  <w:num w:numId="25">
    <w:abstractNumId w:val="14"/>
  </w:num>
  <w:num w:numId="26">
    <w:abstractNumId w:val="17"/>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210"/>
  <w:drawingGridHorizontalSpacing w:val="105"/>
  <w:drawingGridVerticalSpacing w:val="156"/>
  <w:displayHorizontalDrawingGridEvery w:val="2"/>
  <w:displayVerticalDrawingGridEvery w:val="2"/>
  <w:noPunctuationKerning w:val="true"/>
  <w:characterSpacingControl w:val="doNotCompress"/>
  <w:compat>
    <w:doNotExpandShiftReturn/>
    <w:useFELayout/>
    <w:compatSetting w:name="compatibilityMode" w:uri="http://schemas.microsoft.com/office/word" w:val="12"/>
  </w:compat>
  <w:docVars>
    <w:docVar w:name="commondata" w:val="eyJoZGlkIjoiMjU0ZjMxZmVlNzJmZjYwZjI1Y2MwYzk3ZTNhODM5NjEifQ=="/>
  </w:docVars>
  <w:rsids>
    <w:rsidRoot w:val="00382FF0"/>
    <w:rsid w:val="000005BF"/>
    <w:rsid w:val="000021C5"/>
    <w:rsid w:val="00002527"/>
    <w:rsid w:val="00006548"/>
    <w:rsid w:val="00010579"/>
    <w:rsid w:val="000107B4"/>
    <w:rsid w:val="00010CAE"/>
    <w:rsid w:val="00015311"/>
    <w:rsid w:val="0001759B"/>
    <w:rsid w:val="00017D20"/>
    <w:rsid w:val="000214C2"/>
    <w:rsid w:val="00023F53"/>
    <w:rsid w:val="000265F5"/>
    <w:rsid w:val="00027BD3"/>
    <w:rsid w:val="00031BA1"/>
    <w:rsid w:val="00031EEE"/>
    <w:rsid w:val="000321A5"/>
    <w:rsid w:val="0003373A"/>
    <w:rsid w:val="000339A5"/>
    <w:rsid w:val="00034975"/>
    <w:rsid w:val="000349BD"/>
    <w:rsid w:val="00035EF8"/>
    <w:rsid w:val="00036B39"/>
    <w:rsid w:val="00036F69"/>
    <w:rsid w:val="000372EA"/>
    <w:rsid w:val="00037588"/>
    <w:rsid w:val="00037DA9"/>
    <w:rsid w:val="00040BBF"/>
    <w:rsid w:val="000423E9"/>
    <w:rsid w:val="00042F63"/>
    <w:rsid w:val="00043421"/>
    <w:rsid w:val="00045EB8"/>
    <w:rsid w:val="000502BF"/>
    <w:rsid w:val="00050E91"/>
    <w:rsid w:val="0005179F"/>
    <w:rsid w:val="0005265F"/>
    <w:rsid w:val="00053CA3"/>
    <w:rsid w:val="00053FB5"/>
    <w:rsid w:val="000556A3"/>
    <w:rsid w:val="000560E7"/>
    <w:rsid w:val="00056F2D"/>
    <w:rsid w:val="00057DD3"/>
    <w:rsid w:val="000617AE"/>
    <w:rsid w:val="00065B48"/>
    <w:rsid w:val="00065B55"/>
    <w:rsid w:val="00065E47"/>
    <w:rsid w:val="00066806"/>
    <w:rsid w:val="00072C78"/>
    <w:rsid w:val="000733A5"/>
    <w:rsid w:val="000735F2"/>
    <w:rsid w:val="00074720"/>
    <w:rsid w:val="00075CDA"/>
    <w:rsid w:val="00075DD9"/>
    <w:rsid w:val="00076E6A"/>
    <w:rsid w:val="00076F59"/>
    <w:rsid w:val="0007739B"/>
    <w:rsid w:val="00082552"/>
    <w:rsid w:val="00087374"/>
    <w:rsid w:val="0009263D"/>
    <w:rsid w:val="0009271F"/>
    <w:rsid w:val="00093780"/>
    <w:rsid w:val="00094B60"/>
    <w:rsid w:val="0009648F"/>
    <w:rsid w:val="000A1A7A"/>
    <w:rsid w:val="000A2AD4"/>
    <w:rsid w:val="000A33EA"/>
    <w:rsid w:val="000A560C"/>
    <w:rsid w:val="000A568D"/>
    <w:rsid w:val="000A5834"/>
    <w:rsid w:val="000A6E5F"/>
    <w:rsid w:val="000A7982"/>
    <w:rsid w:val="000B17FF"/>
    <w:rsid w:val="000B2ED2"/>
    <w:rsid w:val="000B4389"/>
    <w:rsid w:val="000B6B56"/>
    <w:rsid w:val="000B6C14"/>
    <w:rsid w:val="000B6E4A"/>
    <w:rsid w:val="000B6ECB"/>
    <w:rsid w:val="000C108B"/>
    <w:rsid w:val="000C1D3B"/>
    <w:rsid w:val="000C204C"/>
    <w:rsid w:val="000C21DC"/>
    <w:rsid w:val="000C2EFF"/>
    <w:rsid w:val="000C69DD"/>
    <w:rsid w:val="000D0636"/>
    <w:rsid w:val="000D2574"/>
    <w:rsid w:val="000D2C22"/>
    <w:rsid w:val="000D2D03"/>
    <w:rsid w:val="000D3F07"/>
    <w:rsid w:val="000D4741"/>
    <w:rsid w:val="000D5901"/>
    <w:rsid w:val="000D7161"/>
    <w:rsid w:val="000E2B29"/>
    <w:rsid w:val="000E323C"/>
    <w:rsid w:val="000E6CF2"/>
    <w:rsid w:val="000E6FBE"/>
    <w:rsid w:val="000E7B00"/>
    <w:rsid w:val="000E7B1D"/>
    <w:rsid w:val="000F0410"/>
    <w:rsid w:val="000F06E3"/>
    <w:rsid w:val="000F1341"/>
    <w:rsid w:val="000F157E"/>
    <w:rsid w:val="000F44E2"/>
    <w:rsid w:val="000F5AFB"/>
    <w:rsid w:val="000F6F09"/>
    <w:rsid w:val="000F7C2F"/>
    <w:rsid w:val="00100C9C"/>
    <w:rsid w:val="00104E97"/>
    <w:rsid w:val="00114787"/>
    <w:rsid w:val="00114BE1"/>
    <w:rsid w:val="00114CA4"/>
    <w:rsid w:val="00115025"/>
    <w:rsid w:val="00115915"/>
    <w:rsid w:val="00116AFE"/>
    <w:rsid w:val="00122324"/>
    <w:rsid w:val="00123BF9"/>
    <w:rsid w:val="00123E5E"/>
    <w:rsid w:val="00125CB3"/>
    <w:rsid w:val="00127602"/>
    <w:rsid w:val="00133500"/>
    <w:rsid w:val="001404CC"/>
    <w:rsid w:val="00141407"/>
    <w:rsid w:val="0014208F"/>
    <w:rsid w:val="00142755"/>
    <w:rsid w:val="001444B3"/>
    <w:rsid w:val="00144633"/>
    <w:rsid w:val="00144D00"/>
    <w:rsid w:val="00146209"/>
    <w:rsid w:val="0014733B"/>
    <w:rsid w:val="001517CF"/>
    <w:rsid w:val="00151B99"/>
    <w:rsid w:val="00151D32"/>
    <w:rsid w:val="001522C0"/>
    <w:rsid w:val="001530B3"/>
    <w:rsid w:val="00153116"/>
    <w:rsid w:val="0015335D"/>
    <w:rsid w:val="00157A52"/>
    <w:rsid w:val="00160A51"/>
    <w:rsid w:val="00161FC3"/>
    <w:rsid w:val="00163665"/>
    <w:rsid w:val="00164144"/>
    <w:rsid w:val="00164C6D"/>
    <w:rsid w:val="00166966"/>
    <w:rsid w:val="00170B1F"/>
    <w:rsid w:val="00172236"/>
    <w:rsid w:val="00172735"/>
    <w:rsid w:val="00172F3F"/>
    <w:rsid w:val="001748CC"/>
    <w:rsid w:val="0017737E"/>
    <w:rsid w:val="00180447"/>
    <w:rsid w:val="00180474"/>
    <w:rsid w:val="001830DE"/>
    <w:rsid w:val="00184351"/>
    <w:rsid w:val="00190BD6"/>
    <w:rsid w:val="00194892"/>
    <w:rsid w:val="00194B33"/>
    <w:rsid w:val="00197626"/>
    <w:rsid w:val="001A1265"/>
    <w:rsid w:val="001A2C1C"/>
    <w:rsid w:val="001A5A76"/>
    <w:rsid w:val="001A5BF9"/>
    <w:rsid w:val="001A7235"/>
    <w:rsid w:val="001B017F"/>
    <w:rsid w:val="001B43FB"/>
    <w:rsid w:val="001B6558"/>
    <w:rsid w:val="001B68C4"/>
    <w:rsid w:val="001C2054"/>
    <w:rsid w:val="001C34C2"/>
    <w:rsid w:val="001C4F5F"/>
    <w:rsid w:val="001C4F78"/>
    <w:rsid w:val="001C5020"/>
    <w:rsid w:val="001C5F21"/>
    <w:rsid w:val="001C793C"/>
    <w:rsid w:val="001C7E81"/>
    <w:rsid w:val="001D080F"/>
    <w:rsid w:val="001D0B98"/>
    <w:rsid w:val="001D1989"/>
    <w:rsid w:val="001D300C"/>
    <w:rsid w:val="001D43BC"/>
    <w:rsid w:val="001D4404"/>
    <w:rsid w:val="001D53A9"/>
    <w:rsid w:val="001D5AA4"/>
    <w:rsid w:val="001D5ABD"/>
    <w:rsid w:val="001D6709"/>
    <w:rsid w:val="001D71BA"/>
    <w:rsid w:val="001E0735"/>
    <w:rsid w:val="001E0B6B"/>
    <w:rsid w:val="001E14EA"/>
    <w:rsid w:val="001E2943"/>
    <w:rsid w:val="001E3ECD"/>
    <w:rsid w:val="001E54DE"/>
    <w:rsid w:val="001E6B16"/>
    <w:rsid w:val="001E6F22"/>
    <w:rsid w:val="001F0E09"/>
    <w:rsid w:val="001F70E7"/>
    <w:rsid w:val="001F724D"/>
    <w:rsid w:val="002004A1"/>
    <w:rsid w:val="00201E62"/>
    <w:rsid w:val="00205B62"/>
    <w:rsid w:val="00205F4D"/>
    <w:rsid w:val="00207275"/>
    <w:rsid w:val="00210E89"/>
    <w:rsid w:val="00211599"/>
    <w:rsid w:val="002136E7"/>
    <w:rsid w:val="0021471F"/>
    <w:rsid w:val="00215055"/>
    <w:rsid w:val="00215B3D"/>
    <w:rsid w:val="00216264"/>
    <w:rsid w:val="00216FE2"/>
    <w:rsid w:val="00221609"/>
    <w:rsid w:val="00221AED"/>
    <w:rsid w:val="0022350E"/>
    <w:rsid w:val="002247C3"/>
    <w:rsid w:val="0022548A"/>
    <w:rsid w:val="00226DCB"/>
    <w:rsid w:val="00226E30"/>
    <w:rsid w:val="00227E52"/>
    <w:rsid w:val="00230A43"/>
    <w:rsid w:val="00230C59"/>
    <w:rsid w:val="002310FD"/>
    <w:rsid w:val="0023126A"/>
    <w:rsid w:val="00232A23"/>
    <w:rsid w:val="00233AE2"/>
    <w:rsid w:val="002348D4"/>
    <w:rsid w:val="00234EAB"/>
    <w:rsid w:val="00235CB0"/>
    <w:rsid w:val="00241676"/>
    <w:rsid w:val="00241E83"/>
    <w:rsid w:val="00244236"/>
    <w:rsid w:val="00246BD5"/>
    <w:rsid w:val="00247E6D"/>
    <w:rsid w:val="00256C2B"/>
    <w:rsid w:val="002601C2"/>
    <w:rsid w:val="00260D58"/>
    <w:rsid w:val="00264631"/>
    <w:rsid w:val="002662BD"/>
    <w:rsid w:val="00267674"/>
    <w:rsid w:val="002705C4"/>
    <w:rsid w:val="002712BB"/>
    <w:rsid w:val="002713F8"/>
    <w:rsid w:val="00272E0E"/>
    <w:rsid w:val="00276057"/>
    <w:rsid w:val="00277D91"/>
    <w:rsid w:val="00281394"/>
    <w:rsid w:val="00282FBE"/>
    <w:rsid w:val="0028557F"/>
    <w:rsid w:val="00286CDF"/>
    <w:rsid w:val="00287AC2"/>
    <w:rsid w:val="00287FD8"/>
    <w:rsid w:val="00290F2A"/>
    <w:rsid w:val="002917C0"/>
    <w:rsid w:val="00291E0E"/>
    <w:rsid w:val="00292BFE"/>
    <w:rsid w:val="002938F3"/>
    <w:rsid w:val="002940ED"/>
    <w:rsid w:val="0029536B"/>
    <w:rsid w:val="00296313"/>
    <w:rsid w:val="00296E5B"/>
    <w:rsid w:val="00297001"/>
    <w:rsid w:val="002A03E3"/>
    <w:rsid w:val="002A07CC"/>
    <w:rsid w:val="002A1017"/>
    <w:rsid w:val="002A192C"/>
    <w:rsid w:val="002A3BE2"/>
    <w:rsid w:val="002A4DD0"/>
    <w:rsid w:val="002A5431"/>
    <w:rsid w:val="002A6548"/>
    <w:rsid w:val="002A69C9"/>
    <w:rsid w:val="002A6B18"/>
    <w:rsid w:val="002A768D"/>
    <w:rsid w:val="002B00D4"/>
    <w:rsid w:val="002B082E"/>
    <w:rsid w:val="002B0E1B"/>
    <w:rsid w:val="002B236F"/>
    <w:rsid w:val="002B3AF7"/>
    <w:rsid w:val="002B4A4E"/>
    <w:rsid w:val="002B5DF9"/>
    <w:rsid w:val="002B60F3"/>
    <w:rsid w:val="002B76BB"/>
    <w:rsid w:val="002B76F2"/>
    <w:rsid w:val="002B778D"/>
    <w:rsid w:val="002C0245"/>
    <w:rsid w:val="002C21E0"/>
    <w:rsid w:val="002C3BC2"/>
    <w:rsid w:val="002C590E"/>
    <w:rsid w:val="002C6C4A"/>
    <w:rsid w:val="002D0F48"/>
    <w:rsid w:val="002D1A85"/>
    <w:rsid w:val="002D24B9"/>
    <w:rsid w:val="002D2A63"/>
    <w:rsid w:val="002D3C00"/>
    <w:rsid w:val="002D43C0"/>
    <w:rsid w:val="002D4B71"/>
    <w:rsid w:val="002D530C"/>
    <w:rsid w:val="002E08C1"/>
    <w:rsid w:val="002E08FC"/>
    <w:rsid w:val="002E21B1"/>
    <w:rsid w:val="002E256F"/>
    <w:rsid w:val="002E32A4"/>
    <w:rsid w:val="002E3CC3"/>
    <w:rsid w:val="002E59EC"/>
    <w:rsid w:val="002E5F3F"/>
    <w:rsid w:val="002F1862"/>
    <w:rsid w:val="002F1CC9"/>
    <w:rsid w:val="002F25ED"/>
    <w:rsid w:val="002F4CF4"/>
    <w:rsid w:val="002F660F"/>
    <w:rsid w:val="002F6765"/>
    <w:rsid w:val="002F6EEB"/>
    <w:rsid w:val="002F7C40"/>
    <w:rsid w:val="00301953"/>
    <w:rsid w:val="0030258C"/>
    <w:rsid w:val="0030326A"/>
    <w:rsid w:val="00303CA5"/>
    <w:rsid w:val="003059BA"/>
    <w:rsid w:val="00311705"/>
    <w:rsid w:val="00311DBD"/>
    <w:rsid w:val="00313BBC"/>
    <w:rsid w:val="0031590C"/>
    <w:rsid w:val="00316CBA"/>
    <w:rsid w:val="003219E2"/>
    <w:rsid w:val="00321A30"/>
    <w:rsid w:val="003237A9"/>
    <w:rsid w:val="00324802"/>
    <w:rsid w:val="00325252"/>
    <w:rsid w:val="00325260"/>
    <w:rsid w:val="00325540"/>
    <w:rsid w:val="00325B54"/>
    <w:rsid w:val="0033126B"/>
    <w:rsid w:val="00331644"/>
    <w:rsid w:val="00331FE8"/>
    <w:rsid w:val="003347A4"/>
    <w:rsid w:val="00335CCF"/>
    <w:rsid w:val="00335D57"/>
    <w:rsid w:val="0033623F"/>
    <w:rsid w:val="00336F58"/>
    <w:rsid w:val="00337CA1"/>
    <w:rsid w:val="00340826"/>
    <w:rsid w:val="00343167"/>
    <w:rsid w:val="00345043"/>
    <w:rsid w:val="00345449"/>
    <w:rsid w:val="00350C92"/>
    <w:rsid w:val="0035246F"/>
    <w:rsid w:val="003565F6"/>
    <w:rsid w:val="00356BEA"/>
    <w:rsid w:val="00356D1E"/>
    <w:rsid w:val="0036006D"/>
    <w:rsid w:val="00361F31"/>
    <w:rsid w:val="00362FCB"/>
    <w:rsid w:val="003637F5"/>
    <w:rsid w:val="00363BCD"/>
    <w:rsid w:val="00363EAD"/>
    <w:rsid w:val="00366B99"/>
    <w:rsid w:val="00375D08"/>
    <w:rsid w:val="00376520"/>
    <w:rsid w:val="003805FF"/>
    <w:rsid w:val="0038270B"/>
    <w:rsid w:val="00382FF0"/>
    <w:rsid w:val="0038392A"/>
    <w:rsid w:val="003844B6"/>
    <w:rsid w:val="003846F3"/>
    <w:rsid w:val="00385845"/>
    <w:rsid w:val="00386E25"/>
    <w:rsid w:val="0039078D"/>
    <w:rsid w:val="00391C93"/>
    <w:rsid w:val="00392238"/>
    <w:rsid w:val="00392342"/>
    <w:rsid w:val="00392ECC"/>
    <w:rsid w:val="00393A70"/>
    <w:rsid w:val="00395171"/>
    <w:rsid w:val="003970DD"/>
    <w:rsid w:val="00397925"/>
    <w:rsid w:val="003A1E2B"/>
    <w:rsid w:val="003A407F"/>
    <w:rsid w:val="003A4F7B"/>
    <w:rsid w:val="003A6FD5"/>
    <w:rsid w:val="003A7B83"/>
    <w:rsid w:val="003B1C88"/>
    <w:rsid w:val="003B2E71"/>
    <w:rsid w:val="003B3C8B"/>
    <w:rsid w:val="003B4CF3"/>
    <w:rsid w:val="003B5AB4"/>
    <w:rsid w:val="003B61A2"/>
    <w:rsid w:val="003B65E2"/>
    <w:rsid w:val="003B6F5C"/>
    <w:rsid w:val="003B7E82"/>
    <w:rsid w:val="003B7F54"/>
    <w:rsid w:val="003C0FEB"/>
    <w:rsid w:val="003C44EB"/>
    <w:rsid w:val="003C4805"/>
    <w:rsid w:val="003C5C82"/>
    <w:rsid w:val="003C7E4E"/>
    <w:rsid w:val="003C7F27"/>
    <w:rsid w:val="003D0E8A"/>
    <w:rsid w:val="003D17FE"/>
    <w:rsid w:val="003D2D25"/>
    <w:rsid w:val="003D46E9"/>
    <w:rsid w:val="003D505C"/>
    <w:rsid w:val="003D61FE"/>
    <w:rsid w:val="003D636C"/>
    <w:rsid w:val="003E0573"/>
    <w:rsid w:val="003E2E4B"/>
    <w:rsid w:val="003E2E66"/>
    <w:rsid w:val="003E300F"/>
    <w:rsid w:val="003E4C2E"/>
    <w:rsid w:val="003E5CE5"/>
    <w:rsid w:val="003E6382"/>
    <w:rsid w:val="003E65B2"/>
    <w:rsid w:val="003E7CE2"/>
    <w:rsid w:val="003F14A8"/>
    <w:rsid w:val="003F1650"/>
    <w:rsid w:val="003F2DA8"/>
    <w:rsid w:val="003F365D"/>
    <w:rsid w:val="003F3F2E"/>
    <w:rsid w:val="003F41AB"/>
    <w:rsid w:val="003F46C0"/>
    <w:rsid w:val="003F582E"/>
    <w:rsid w:val="003F603C"/>
    <w:rsid w:val="003F75B0"/>
    <w:rsid w:val="003F764E"/>
    <w:rsid w:val="00402B99"/>
    <w:rsid w:val="00403622"/>
    <w:rsid w:val="00405B77"/>
    <w:rsid w:val="0040603E"/>
    <w:rsid w:val="00406B4F"/>
    <w:rsid w:val="00406CC1"/>
    <w:rsid w:val="004112B7"/>
    <w:rsid w:val="0041207A"/>
    <w:rsid w:val="00412164"/>
    <w:rsid w:val="00412AC8"/>
    <w:rsid w:val="00413115"/>
    <w:rsid w:val="00416891"/>
    <w:rsid w:val="00421C77"/>
    <w:rsid w:val="004278EB"/>
    <w:rsid w:val="00427B91"/>
    <w:rsid w:val="00430291"/>
    <w:rsid w:val="0043181C"/>
    <w:rsid w:val="0043304E"/>
    <w:rsid w:val="00434D38"/>
    <w:rsid w:val="0043522A"/>
    <w:rsid w:val="00436ECC"/>
    <w:rsid w:val="004414E6"/>
    <w:rsid w:val="00445711"/>
    <w:rsid w:val="00445D8F"/>
    <w:rsid w:val="0044793A"/>
    <w:rsid w:val="00447DDB"/>
    <w:rsid w:val="00450236"/>
    <w:rsid w:val="004511E2"/>
    <w:rsid w:val="00451AE6"/>
    <w:rsid w:val="004526C9"/>
    <w:rsid w:val="004548A9"/>
    <w:rsid w:val="00454E9B"/>
    <w:rsid w:val="0046160C"/>
    <w:rsid w:val="00461998"/>
    <w:rsid w:val="004619AC"/>
    <w:rsid w:val="00463A10"/>
    <w:rsid w:val="0046437F"/>
    <w:rsid w:val="00465073"/>
    <w:rsid w:val="00465B7B"/>
    <w:rsid w:val="004668AD"/>
    <w:rsid w:val="00466FF2"/>
    <w:rsid w:val="00467339"/>
    <w:rsid w:val="004714B9"/>
    <w:rsid w:val="0047356A"/>
    <w:rsid w:val="00474145"/>
    <w:rsid w:val="004745E2"/>
    <w:rsid w:val="00477D9A"/>
    <w:rsid w:val="0048236D"/>
    <w:rsid w:val="004826C9"/>
    <w:rsid w:val="00482B96"/>
    <w:rsid w:val="00483358"/>
    <w:rsid w:val="0048522D"/>
    <w:rsid w:val="0048668C"/>
    <w:rsid w:val="00486D3D"/>
    <w:rsid w:val="004878D0"/>
    <w:rsid w:val="00490088"/>
    <w:rsid w:val="0049063E"/>
    <w:rsid w:val="004912C6"/>
    <w:rsid w:val="00493538"/>
    <w:rsid w:val="004956ED"/>
    <w:rsid w:val="0049622C"/>
    <w:rsid w:val="00497D7D"/>
    <w:rsid w:val="00497F00"/>
    <w:rsid w:val="004A216B"/>
    <w:rsid w:val="004A3243"/>
    <w:rsid w:val="004B2D73"/>
    <w:rsid w:val="004B2F1C"/>
    <w:rsid w:val="004C06B4"/>
    <w:rsid w:val="004C1C92"/>
    <w:rsid w:val="004C4CB6"/>
    <w:rsid w:val="004C5B0C"/>
    <w:rsid w:val="004C6B1F"/>
    <w:rsid w:val="004C7AE5"/>
    <w:rsid w:val="004D0182"/>
    <w:rsid w:val="004D2D13"/>
    <w:rsid w:val="004D338E"/>
    <w:rsid w:val="004D3767"/>
    <w:rsid w:val="004D55C7"/>
    <w:rsid w:val="004D6C03"/>
    <w:rsid w:val="004E6259"/>
    <w:rsid w:val="004E6E84"/>
    <w:rsid w:val="004F23E3"/>
    <w:rsid w:val="004F3719"/>
    <w:rsid w:val="004F4E6D"/>
    <w:rsid w:val="004F5EB5"/>
    <w:rsid w:val="004F7379"/>
    <w:rsid w:val="004F74CD"/>
    <w:rsid w:val="004F7BC6"/>
    <w:rsid w:val="005017B1"/>
    <w:rsid w:val="005033D0"/>
    <w:rsid w:val="005043F4"/>
    <w:rsid w:val="0050545B"/>
    <w:rsid w:val="00505515"/>
    <w:rsid w:val="005055A3"/>
    <w:rsid w:val="00505EA5"/>
    <w:rsid w:val="00506EB4"/>
    <w:rsid w:val="00507197"/>
    <w:rsid w:val="005072EF"/>
    <w:rsid w:val="00511B09"/>
    <w:rsid w:val="005134E3"/>
    <w:rsid w:val="00515AC9"/>
    <w:rsid w:val="00515D4A"/>
    <w:rsid w:val="005175BF"/>
    <w:rsid w:val="00517D40"/>
    <w:rsid w:val="00517FBF"/>
    <w:rsid w:val="00520DEA"/>
    <w:rsid w:val="00521E61"/>
    <w:rsid w:val="00523BDD"/>
    <w:rsid w:val="00524504"/>
    <w:rsid w:val="005253F0"/>
    <w:rsid w:val="005272AE"/>
    <w:rsid w:val="005279B1"/>
    <w:rsid w:val="00531E21"/>
    <w:rsid w:val="005322CC"/>
    <w:rsid w:val="00532706"/>
    <w:rsid w:val="00532D32"/>
    <w:rsid w:val="0053303D"/>
    <w:rsid w:val="00533AC5"/>
    <w:rsid w:val="00534928"/>
    <w:rsid w:val="00535D04"/>
    <w:rsid w:val="0054054A"/>
    <w:rsid w:val="0054056A"/>
    <w:rsid w:val="00545640"/>
    <w:rsid w:val="0054584E"/>
    <w:rsid w:val="005462EC"/>
    <w:rsid w:val="00550DC1"/>
    <w:rsid w:val="00551CB3"/>
    <w:rsid w:val="00554956"/>
    <w:rsid w:val="0055586D"/>
    <w:rsid w:val="005565B0"/>
    <w:rsid w:val="00556708"/>
    <w:rsid w:val="005573EE"/>
    <w:rsid w:val="00561DE9"/>
    <w:rsid w:val="00562509"/>
    <w:rsid w:val="00562526"/>
    <w:rsid w:val="00567BFC"/>
    <w:rsid w:val="005727AF"/>
    <w:rsid w:val="00572FA5"/>
    <w:rsid w:val="00573966"/>
    <w:rsid w:val="00573CAA"/>
    <w:rsid w:val="00575C35"/>
    <w:rsid w:val="00577282"/>
    <w:rsid w:val="00580907"/>
    <w:rsid w:val="005926F5"/>
    <w:rsid w:val="005929DF"/>
    <w:rsid w:val="00596BBE"/>
    <w:rsid w:val="00597FA1"/>
    <w:rsid w:val="005A0A1B"/>
    <w:rsid w:val="005A35D5"/>
    <w:rsid w:val="005A3DAB"/>
    <w:rsid w:val="005A406C"/>
    <w:rsid w:val="005A5530"/>
    <w:rsid w:val="005A66B6"/>
    <w:rsid w:val="005B4730"/>
    <w:rsid w:val="005B6BE7"/>
    <w:rsid w:val="005C0272"/>
    <w:rsid w:val="005C3252"/>
    <w:rsid w:val="005C3E94"/>
    <w:rsid w:val="005C46A1"/>
    <w:rsid w:val="005C59A2"/>
    <w:rsid w:val="005C7EA7"/>
    <w:rsid w:val="005D0124"/>
    <w:rsid w:val="005D203A"/>
    <w:rsid w:val="005D38C2"/>
    <w:rsid w:val="005D4A1F"/>
    <w:rsid w:val="005D5966"/>
    <w:rsid w:val="005D77A5"/>
    <w:rsid w:val="005E2D7E"/>
    <w:rsid w:val="005E2EA6"/>
    <w:rsid w:val="005E3800"/>
    <w:rsid w:val="005E5F6B"/>
    <w:rsid w:val="005E6D6B"/>
    <w:rsid w:val="005E6EE2"/>
    <w:rsid w:val="005F3202"/>
    <w:rsid w:val="005F4F71"/>
    <w:rsid w:val="005F5F3D"/>
    <w:rsid w:val="00601445"/>
    <w:rsid w:val="00601663"/>
    <w:rsid w:val="006020E9"/>
    <w:rsid w:val="0060492B"/>
    <w:rsid w:val="00605BD4"/>
    <w:rsid w:val="00610DF3"/>
    <w:rsid w:val="00611BD0"/>
    <w:rsid w:val="006124D1"/>
    <w:rsid w:val="0061371F"/>
    <w:rsid w:val="00614C64"/>
    <w:rsid w:val="0061695B"/>
    <w:rsid w:val="006202DC"/>
    <w:rsid w:val="00620892"/>
    <w:rsid w:val="00623F26"/>
    <w:rsid w:val="00625F37"/>
    <w:rsid w:val="00627D4B"/>
    <w:rsid w:val="0063026C"/>
    <w:rsid w:val="00630366"/>
    <w:rsid w:val="00630EC5"/>
    <w:rsid w:val="00634BBD"/>
    <w:rsid w:val="00640631"/>
    <w:rsid w:val="00640C7E"/>
    <w:rsid w:val="00642493"/>
    <w:rsid w:val="00645B9C"/>
    <w:rsid w:val="00646F18"/>
    <w:rsid w:val="0065094C"/>
    <w:rsid w:val="006518A3"/>
    <w:rsid w:val="00651992"/>
    <w:rsid w:val="00651C5F"/>
    <w:rsid w:val="006565F7"/>
    <w:rsid w:val="00657590"/>
    <w:rsid w:val="00660FE9"/>
    <w:rsid w:val="00661598"/>
    <w:rsid w:val="00663812"/>
    <w:rsid w:val="00664BCC"/>
    <w:rsid w:val="00665DD7"/>
    <w:rsid w:val="00666322"/>
    <w:rsid w:val="00666471"/>
    <w:rsid w:val="00666C1A"/>
    <w:rsid w:val="0066754E"/>
    <w:rsid w:val="00667972"/>
    <w:rsid w:val="00670627"/>
    <w:rsid w:val="006706EF"/>
    <w:rsid w:val="00673733"/>
    <w:rsid w:val="00674639"/>
    <w:rsid w:val="0067512D"/>
    <w:rsid w:val="00677A77"/>
    <w:rsid w:val="00677E34"/>
    <w:rsid w:val="00681844"/>
    <w:rsid w:val="00681A19"/>
    <w:rsid w:val="00682B22"/>
    <w:rsid w:val="0068313E"/>
    <w:rsid w:val="00684E0B"/>
    <w:rsid w:val="00686D7F"/>
    <w:rsid w:val="0069124A"/>
    <w:rsid w:val="00691858"/>
    <w:rsid w:val="00692313"/>
    <w:rsid w:val="00692EF9"/>
    <w:rsid w:val="006930B0"/>
    <w:rsid w:val="00694206"/>
    <w:rsid w:val="00694463"/>
    <w:rsid w:val="006A01D7"/>
    <w:rsid w:val="006A0E1C"/>
    <w:rsid w:val="006A0E72"/>
    <w:rsid w:val="006A1047"/>
    <w:rsid w:val="006A10F2"/>
    <w:rsid w:val="006A44E0"/>
    <w:rsid w:val="006A4D7D"/>
    <w:rsid w:val="006A56FC"/>
    <w:rsid w:val="006B097B"/>
    <w:rsid w:val="006B0D8A"/>
    <w:rsid w:val="006B183D"/>
    <w:rsid w:val="006B3E4B"/>
    <w:rsid w:val="006B643E"/>
    <w:rsid w:val="006C4C5E"/>
    <w:rsid w:val="006D07EC"/>
    <w:rsid w:val="006D0BA7"/>
    <w:rsid w:val="006D12A2"/>
    <w:rsid w:val="006D1FE9"/>
    <w:rsid w:val="006D34A4"/>
    <w:rsid w:val="006D46CF"/>
    <w:rsid w:val="006D4B90"/>
    <w:rsid w:val="006D4BBD"/>
    <w:rsid w:val="006D5010"/>
    <w:rsid w:val="006D5655"/>
    <w:rsid w:val="006D56ED"/>
    <w:rsid w:val="006D6D2B"/>
    <w:rsid w:val="006E59E5"/>
    <w:rsid w:val="006E6C83"/>
    <w:rsid w:val="006E740A"/>
    <w:rsid w:val="006E7E4F"/>
    <w:rsid w:val="006F0C51"/>
    <w:rsid w:val="006F0DCD"/>
    <w:rsid w:val="006F1DE7"/>
    <w:rsid w:val="006F1FF9"/>
    <w:rsid w:val="006F3DB5"/>
    <w:rsid w:val="006F647F"/>
    <w:rsid w:val="00700E83"/>
    <w:rsid w:val="0070112E"/>
    <w:rsid w:val="00702A0D"/>
    <w:rsid w:val="00703D41"/>
    <w:rsid w:val="007056B1"/>
    <w:rsid w:val="007064A5"/>
    <w:rsid w:val="00710E7C"/>
    <w:rsid w:val="00711A21"/>
    <w:rsid w:val="007133B0"/>
    <w:rsid w:val="007136EA"/>
    <w:rsid w:val="007141B1"/>
    <w:rsid w:val="00714EC7"/>
    <w:rsid w:val="00715BD0"/>
    <w:rsid w:val="00716E1C"/>
    <w:rsid w:val="007207F2"/>
    <w:rsid w:val="00721BB0"/>
    <w:rsid w:val="00722D7C"/>
    <w:rsid w:val="00723462"/>
    <w:rsid w:val="007237AD"/>
    <w:rsid w:val="00727842"/>
    <w:rsid w:val="007348B9"/>
    <w:rsid w:val="0073641E"/>
    <w:rsid w:val="007434E4"/>
    <w:rsid w:val="00743819"/>
    <w:rsid w:val="00743CC7"/>
    <w:rsid w:val="007456DA"/>
    <w:rsid w:val="0074732A"/>
    <w:rsid w:val="00750925"/>
    <w:rsid w:val="00752430"/>
    <w:rsid w:val="00753670"/>
    <w:rsid w:val="007608D6"/>
    <w:rsid w:val="0076364A"/>
    <w:rsid w:val="00764998"/>
    <w:rsid w:val="007651AF"/>
    <w:rsid w:val="00766A23"/>
    <w:rsid w:val="00766B0F"/>
    <w:rsid w:val="00767654"/>
    <w:rsid w:val="007676C9"/>
    <w:rsid w:val="00767B2F"/>
    <w:rsid w:val="00771469"/>
    <w:rsid w:val="00773532"/>
    <w:rsid w:val="00773A5E"/>
    <w:rsid w:val="00774F61"/>
    <w:rsid w:val="007760D7"/>
    <w:rsid w:val="00776408"/>
    <w:rsid w:val="007764C1"/>
    <w:rsid w:val="00776DA0"/>
    <w:rsid w:val="00777658"/>
    <w:rsid w:val="0077795E"/>
    <w:rsid w:val="00777BB2"/>
    <w:rsid w:val="00781585"/>
    <w:rsid w:val="00781CD2"/>
    <w:rsid w:val="0078233D"/>
    <w:rsid w:val="00782D8A"/>
    <w:rsid w:val="00786E86"/>
    <w:rsid w:val="00787979"/>
    <w:rsid w:val="00790283"/>
    <w:rsid w:val="00792DBE"/>
    <w:rsid w:val="00795E45"/>
    <w:rsid w:val="007968C4"/>
    <w:rsid w:val="00797211"/>
    <w:rsid w:val="007A074B"/>
    <w:rsid w:val="007A0A68"/>
    <w:rsid w:val="007A44DD"/>
    <w:rsid w:val="007A5405"/>
    <w:rsid w:val="007A6331"/>
    <w:rsid w:val="007A6E9E"/>
    <w:rsid w:val="007A78AD"/>
    <w:rsid w:val="007B140D"/>
    <w:rsid w:val="007B3C19"/>
    <w:rsid w:val="007B6554"/>
    <w:rsid w:val="007B7492"/>
    <w:rsid w:val="007C23A7"/>
    <w:rsid w:val="007C284F"/>
    <w:rsid w:val="007C30B7"/>
    <w:rsid w:val="007C4FCE"/>
    <w:rsid w:val="007D0B04"/>
    <w:rsid w:val="007D258C"/>
    <w:rsid w:val="007D2FAA"/>
    <w:rsid w:val="007D482B"/>
    <w:rsid w:val="007D6A6E"/>
    <w:rsid w:val="007D6A78"/>
    <w:rsid w:val="007D7E16"/>
    <w:rsid w:val="007E0206"/>
    <w:rsid w:val="007E0275"/>
    <w:rsid w:val="007E0844"/>
    <w:rsid w:val="007E1AEC"/>
    <w:rsid w:val="007E2AAF"/>
    <w:rsid w:val="007E3F4F"/>
    <w:rsid w:val="007E50F3"/>
    <w:rsid w:val="007F1978"/>
    <w:rsid w:val="007F24FE"/>
    <w:rsid w:val="007F29C4"/>
    <w:rsid w:val="007F49A4"/>
    <w:rsid w:val="007F5BD8"/>
    <w:rsid w:val="007F69B9"/>
    <w:rsid w:val="00800F2D"/>
    <w:rsid w:val="00804461"/>
    <w:rsid w:val="0080465D"/>
    <w:rsid w:val="00804B17"/>
    <w:rsid w:val="008058E0"/>
    <w:rsid w:val="00806924"/>
    <w:rsid w:val="0080693B"/>
    <w:rsid w:val="00811383"/>
    <w:rsid w:val="0081152D"/>
    <w:rsid w:val="00811C33"/>
    <w:rsid w:val="00813982"/>
    <w:rsid w:val="00817078"/>
    <w:rsid w:val="00820E94"/>
    <w:rsid w:val="00824CAE"/>
    <w:rsid w:val="0082626B"/>
    <w:rsid w:val="008278CF"/>
    <w:rsid w:val="00831BC5"/>
    <w:rsid w:val="008322D6"/>
    <w:rsid w:val="0083739F"/>
    <w:rsid w:val="00837F5F"/>
    <w:rsid w:val="00841720"/>
    <w:rsid w:val="008429F8"/>
    <w:rsid w:val="00846D16"/>
    <w:rsid w:val="008516FC"/>
    <w:rsid w:val="008519B8"/>
    <w:rsid w:val="00852FD0"/>
    <w:rsid w:val="00852FD6"/>
    <w:rsid w:val="008540D6"/>
    <w:rsid w:val="008550B6"/>
    <w:rsid w:val="00855946"/>
    <w:rsid w:val="00856A6A"/>
    <w:rsid w:val="0085722E"/>
    <w:rsid w:val="0085753E"/>
    <w:rsid w:val="00860875"/>
    <w:rsid w:val="00862997"/>
    <w:rsid w:val="00863677"/>
    <w:rsid w:val="00864595"/>
    <w:rsid w:val="00864CE3"/>
    <w:rsid w:val="0086558F"/>
    <w:rsid w:val="0086798F"/>
    <w:rsid w:val="00867C2D"/>
    <w:rsid w:val="008708FD"/>
    <w:rsid w:val="00871B03"/>
    <w:rsid w:val="00874D79"/>
    <w:rsid w:val="00875355"/>
    <w:rsid w:val="00875CE2"/>
    <w:rsid w:val="00882C11"/>
    <w:rsid w:val="00885724"/>
    <w:rsid w:val="008865DB"/>
    <w:rsid w:val="0089000C"/>
    <w:rsid w:val="00890DA1"/>
    <w:rsid w:val="00891407"/>
    <w:rsid w:val="00892E47"/>
    <w:rsid w:val="00893190"/>
    <w:rsid w:val="00893A3B"/>
    <w:rsid w:val="00895446"/>
    <w:rsid w:val="0089570A"/>
    <w:rsid w:val="00896550"/>
    <w:rsid w:val="0089709D"/>
    <w:rsid w:val="00897608"/>
    <w:rsid w:val="00897794"/>
    <w:rsid w:val="008A0983"/>
    <w:rsid w:val="008A24BF"/>
    <w:rsid w:val="008A337C"/>
    <w:rsid w:val="008A5A5D"/>
    <w:rsid w:val="008B1257"/>
    <w:rsid w:val="008B21C7"/>
    <w:rsid w:val="008B4096"/>
    <w:rsid w:val="008B4E5A"/>
    <w:rsid w:val="008B5096"/>
    <w:rsid w:val="008B7CBE"/>
    <w:rsid w:val="008C0296"/>
    <w:rsid w:val="008C2210"/>
    <w:rsid w:val="008C3012"/>
    <w:rsid w:val="008C4D51"/>
    <w:rsid w:val="008C5347"/>
    <w:rsid w:val="008C7C86"/>
    <w:rsid w:val="008D2560"/>
    <w:rsid w:val="008D383F"/>
    <w:rsid w:val="008E0718"/>
    <w:rsid w:val="008E1AE0"/>
    <w:rsid w:val="008E351F"/>
    <w:rsid w:val="008E4043"/>
    <w:rsid w:val="008E4A74"/>
    <w:rsid w:val="008E7259"/>
    <w:rsid w:val="008E7E86"/>
    <w:rsid w:val="008F5E97"/>
    <w:rsid w:val="008F7271"/>
    <w:rsid w:val="008F7A1B"/>
    <w:rsid w:val="008F7AB2"/>
    <w:rsid w:val="00901DA3"/>
    <w:rsid w:val="00902903"/>
    <w:rsid w:val="00903906"/>
    <w:rsid w:val="00905B9E"/>
    <w:rsid w:val="00910B2C"/>
    <w:rsid w:val="0091180B"/>
    <w:rsid w:val="00911E1D"/>
    <w:rsid w:val="00912CF3"/>
    <w:rsid w:val="0091439C"/>
    <w:rsid w:val="00914628"/>
    <w:rsid w:val="0091784D"/>
    <w:rsid w:val="0092225E"/>
    <w:rsid w:val="00922B56"/>
    <w:rsid w:val="00922F6C"/>
    <w:rsid w:val="0092329C"/>
    <w:rsid w:val="009242EB"/>
    <w:rsid w:val="009252AE"/>
    <w:rsid w:val="0092567A"/>
    <w:rsid w:val="00925D07"/>
    <w:rsid w:val="0092609D"/>
    <w:rsid w:val="00927016"/>
    <w:rsid w:val="0092779C"/>
    <w:rsid w:val="00927899"/>
    <w:rsid w:val="009303FB"/>
    <w:rsid w:val="00933527"/>
    <w:rsid w:val="00933FD4"/>
    <w:rsid w:val="0093499C"/>
    <w:rsid w:val="00940739"/>
    <w:rsid w:val="00940B5F"/>
    <w:rsid w:val="00940C73"/>
    <w:rsid w:val="00943CCA"/>
    <w:rsid w:val="00944013"/>
    <w:rsid w:val="00945317"/>
    <w:rsid w:val="00945CAA"/>
    <w:rsid w:val="009471E6"/>
    <w:rsid w:val="0095236E"/>
    <w:rsid w:val="00953184"/>
    <w:rsid w:val="009535DF"/>
    <w:rsid w:val="00954D8A"/>
    <w:rsid w:val="0095659D"/>
    <w:rsid w:val="00956D90"/>
    <w:rsid w:val="00956E1F"/>
    <w:rsid w:val="009600A6"/>
    <w:rsid w:val="00961E93"/>
    <w:rsid w:val="00962055"/>
    <w:rsid w:val="00962113"/>
    <w:rsid w:val="009631F6"/>
    <w:rsid w:val="009632C1"/>
    <w:rsid w:val="00963611"/>
    <w:rsid w:val="009638C9"/>
    <w:rsid w:val="00966C27"/>
    <w:rsid w:val="009676B1"/>
    <w:rsid w:val="00970186"/>
    <w:rsid w:val="00970D9A"/>
    <w:rsid w:val="009721AF"/>
    <w:rsid w:val="009722C3"/>
    <w:rsid w:val="0097293A"/>
    <w:rsid w:val="00973C73"/>
    <w:rsid w:val="009818E0"/>
    <w:rsid w:val="0098255D"/>
    <w:rsid w:val="00983AEF"/>
    <w:rsid w:val="00985543"/>
    <w:rsid w:val="009856D7"/>
    <w:rsid w:val="00990211"/>
    <w:rsid w:val="00990231"/>
    <w:rsid w:val="00991615"/>
    <w:rsid w:val="0099165D"/>
    <w:rsid w:val="009919B8"/>
    <w:rsid w:val="00992FE4"/>
    <w:rsid w:val="00995610"/>
    <w:rsid w:val="009962F4"/>
    <w:rsid w:val="009A17AB"/>
    <w:rsid w:val="009A1C75"/>
    <w:rsid w:val="009A2C2B"/>
    <w:rsid w:val="009A4429"/>
    <w:rsid w:val="009B2213"/>
    <w:rsid w:val="009B361F"/>
    <w:rsid w:val="009B50A9"/>
    <w:rsid w:val="009B78CA"/>
    <w:rsid w:val="009C0704"/>
    <w:rsid w:val="009C3895"/>
    <w:rsid w:val="009C5540"/>
    <w:rsid w:val="009C682F"/>
    <w:rsid w:val="009D19E4"/>
    <w:rsid w:val="009D1DD0"/>
    <w:rsid w:val="009D206A"/>
    <w:rsid w:val="009D27E9"/>
    <w:rsid w:val="009D4D5C"/>
    <w:rsid w:val="009D51FE"/>
    <w:rsid w:val="009D5F7D"/>
    <w:rsid w:val="009E0625"/>
    <w:rsid w:val="009E083E"/>
    <w:rsid w:val="009E2343"/>
    <w:rsid w:val="009E32BB"/>
    <w:rsid w:val="009E34DF"/>
    <w:rsid w:val="009E5499"/>
    <w:rsid w:val="009E611F"/>
    <w:rsid w:val="009E651F"/>
    <w:rsid w:val="009E723F"/>
    <w:rsid w:val="009F25A0"/>
    <w:rsid w:val="009F2D77"/>
    <w:rsid w:val="009F5A08"/>
    <w:rsid w:val="009F5C97"/>
    <w:rsid w:val="009F7CDF"/>
    <w:rsid w:val="009F7D4C"/>
    <w:rsid w:val="00A0000F"/>
    <w:rsid w:val="00A01E17"/>
    <w:rsid w:val="00A030BB"/>
    <w:rsid w:val="00A03641"/>
    <w:rsid w:val="00A03E73"/>
    <w:rsid w:val="00A0738A"/>
    <w:rsid w:val="00A12B8E"/>
    <w:rsid w:val="00A13242"/>
    <w:rsid w:val="00A138B3"/>
    <w:rsid w:val="00A14784"/>
    <w:rsid w:val="00A14B20"/>
    <w:rsid w:val="00A207F5"/>
    <w:rsid w:val="00A251FA"/>
    <w:rsid w:val="00A266AE"/>
    <w:rsid w:val="00A27F0F"/>
    <w:rsid w:val="00A31A77"/>
    <w:rsid w:val="00A329C9"/>
    <w:rsid w:val="00A33001"/>
    <w:rsid w:val="00A342E2"/>
    <w:rsid w:val="00A35C5B"/>
    <w:rsid w:val="00A40CF5"/>
    <w:rsid w:val="00A41670"/>
    <w:rsid w:val="00A43B2D"/>
    <w:rsid w:val="00A44B9C"/>
    <w:rsid w:val="00A470A7"/>
    <w:rsid w:val="00A473CC"/>
    <w:rsid w:val="00A47411"/>
    <w:rsid w:val="00A5124A"/>
    <w:rsid w:val="00A56322"/>
    <w:rsid w:val="00A56D18"/>
    <w:rsid w:val="00A56E7C"/>
    <w:rsid w:val="00A57415"/>
    <w:rsid w:val="00A6146D"/>
    <w:rsid w:val="00A61988"/>
    <w:rsid w:val="00A7322A"/>
    <w:rsid w:val="00A82B2D"/>
    <w:rsid w:val="00A832D8"/>
    <w:rsid w:val="00A838EB"/>
    <w:rsid w:val="00A83A8B"/>
    <w:rsid w:val="00A847D0"/>
    <w:rsid w:val="00A85BBA"/>
    <w:rsid w:val="00A8689C"/>
    <w:rsid w:val="00A87239"/>
    <w:rsid w:val="00A872C6"/>
    <w:rsid w:val="00A87389"/>
    <w:rsid w:val="00A8763F"/>
    <w:rsid w:val="00A909CB"/>
    <w:rsid w:val="00A9283B"/>
    <w:rsid w:val="00A935EB"/>
    <w:rsid w:val="00A93857"/>
    <w:rsid w:val="00A939FA"/>
    <w:rsid w:val="00A94542"/>
    <w:rsid w:val="00A97782"/>
    <w:rsid w:val="00AA2113"/>
    <w:rsid w:val="00AA21CF"/>
    <w:rsid w:val="00AA22FC"/>
    <w:rsid w:val="00AA24DB"/>
    <w:rsid w:val="00AA2ACD"/>
    <w:rsid w:val="00AA3C6B"/>
    <w:rsid w:val="00AA40BF"/>
    <w:rsid w:val="00AA4903"/>
    <w:rsid w:val="00AA4BDA"/>
    <w:rsid w:val="00AA5F39"/>
    <w:rsid w:val="00AA7C9D"/>
    <w:rsid w:val="00AA7F89"/>
    <w:rsid w:val="00AB0037"/>
    <w:rsid w:val="00AB128F"/>
    <w:rsid w:val="00AB12B4"/>
    <w:rsid w:val="00AB2752"/>
    <w:rsid w:val="00AB2EEF"/>
    <w:rsid w:val="00AB3DCB"/>
    <w:rsid w:val="00AB521F"/>
    <w:rsid w:val="00AB7B85"/>
    <w:rsid w:val="00AC06BB"/>
    <w:rsid w:val="00AC2B76"/>
    <w:rsid w:val="00AC36C8"/>
    <w:rsid w:val="00AC3ACC"/>
    <w:rsid w:val="00AC3C64"/>
    <w:rsid w:val="00AC474D"/>
    <w:rsid w:val="00AC4B71"/>
    <w:rsid w:val="00AD0D5D"/>
    <w:rsid w:val="00AD2F5A"/>
    <w:rsid w:val="00AD5FD9"/>
    <w:rsid w:val="00AD68CB"/>
    <w:rsid w:val="00AD7ECC"/>
    <w:rsid w:val="00AE0645"/>
    <w:rsid w:val="00AE0C8B"/>
    <w:rsid w:val="00AE0ED5"/>
    <w:rsid w:val="00AE108D"/>
    <w:rsid w:val="00AE1FF4"/>
    <w:rsid w:val="00AE301E"/>
    <w:rsid w:val="00AE31A7"/>
    <w:rsid w:val="00AE3FF9"/>
    <w:rsid w:val="00AE4A0E"/>
    <w:rsid w:val="00AE4DB3"/>
    <w:rsid w:val="00AE547B"/>
    <w:rsid w:val="00AE68A7"/>
    <w:rsid w:val="00AE6D10"/>
    <w:rsid w:val="00AF1BDF"/>
    <w:rsid w:val="00AF299D"/>
    <w:rsid w:val="00AF2B0D"/>
    <w:rsid w:val="00AF2DD6"/>
    <w:rsid w:val="00AF4507"/>
    <w:rsid w:val="00B009E4"/>
    <w:rsid w:val="00B01D8B"/>
    <w:rsid w:val="00B02A70"/>
    <w:rsid w:val="00B0338D"/>
    <w:rsid w:val="00B04731"/>
    <w:rsid w:val="00B0682B"/>
    <w:rsid w:val="00B06B22"/>
    <w:rsid w:val="00B06F9F"/>
    <w:rsid w:val="00B121B1"/>
    <w:rsid w:val="00B138B3"/>
    <w:rsid w:val="00B13E76"/>
    <w:rsid w:val="00B20442"/>
    <w:rsid w:val="00B226E1"/>
    <w:rsid w:val="00B23075"/>
    <w:rsid w:val="00B243C6"/>
    <w:rsid w:val="00B24A21"/>
    <w:rsid w:val="00B24CF2"/>
    <w:rsid w:val="00B25AAE"/>
    <w:rsid w:val="00B2739C"/>
    <w:rsid w:val="00B31D7E"/>
    <w:rsid w:val="00B35AB4"/>
    <w:rsid w:val="00B36191"/>
    <w:rsid w:val="00B361C1"/>
    <w:rsid w:val="00B362B9"/>
    <w:rsid w:val="00B37BED"/>
    <w:rsid w:val="00B37C0E"/>
    <w:rsid w:val="00B37D0C"/>
    <w:rsid w:val="00B40AE1"/>
    <w:rsid w:val="00B415A0"/>
    <w:rsid w:val="00B4309E"/>
    <w:rsid w:val="00B44EE8"/>
    <w:rsid w:val="00B45057"/>
    <w:rsid w:val="00B454CA"/>
    <w:rsid w:val="00B45B68"/>
    <w:rsid w:val="00B51A25"/>
    <w:rsid w:val="00B5356F"/>
    <w:rsid w:val="00B536E3"/>
    <w:rsid w:val="00B546D8"/>
    <w:rsid w:val="00B5488B"/>
    <w:rsid w:val="00B55639"/>
    <w:rsid w:val="00B55871"/>
    <w:rsid w:val="00B55AA4"/>
    <w:rsid w:val="00B55E0B"/>
    <w:rsid w:val="00B56276"/>
    <w:rsid w:val="00B565EB"/>
    <w:rsid w:val="00B60772"/>
    <w:rsid w:val="00B614B1"/>
    <w:rsid w:val="00B62C69"/>
    <w:rsid w:val="00B668EA"/>
    <w:rsid w:val="00B67F49"/>
    <w:rsid w:val="00B709D7"/>
    <w:rsid w:val="00B730DA"/>
    <w:rsid w:val="00B734B8"/>
    <w:rsid w:val="00B74D02"/>
    <w:rsid w:val="00B807AF"/>
    <w:rsid w:val="00B850F9"/>
    <w:rsid w:val="00B8547E"/>
    <w:rsid w:val="00B85F7D"/>
    <w:rsid w:val="00B869BC"/>
    <w:rsid w:val="00B90349"/>
    <w:rsid w:val="00B93687"/>
    <w:rsid w:val="00B94560"/>
    <w:rsid w:val="00B96133"/>
    <w:rsid w:val="00B96AC0"/>
    <w:rsid w:val="00B97D91"/>
    <w:rsid w:val="00BA14DA"/>
    <w:rsid w:val="00BA71EC"/>
    <w:rsid w:val="00BB0CEA"/>
    <w:rsid w:val="00BB20A5"/>
    <w:rsid w:val="00BB308C"/>
    <w:rsid w:val="00BB4098"/>
    <w:rsid w:val="00BB4374"/>
    <w:rsid w:val="00BB5386"/>
    <w:rsid w:val="00BB5BDE"/>
    <w:rsid w:val="00BB6758"/>
    <w:rsid w:val="00BC029C"/>
    <w:rsid w:val="00BC34C5"/>
    <w:rsid w:val="00BC37E9"/>
    <w:rsid w:val="00BC53D6"/>
    <w:rsid w:val="00BC6C4C"/>
    <w:rsid w:val="00BD0251"/>
    <w:rsid w:val="00BD10A6"/>
    <w:rsid w:val="00BD1549"/>
    <w:rsid w:val="00BD4414"/>
    <w:rsid w:val="00BD577C"/>
    <w:rsid w:val="00BD6909"/>
    <w:rsid w:val="00BD7485"/>
    <w:rsid w:val="00BE027D"/>
    <w:rsid w:val="00BE0824"/>
    <w:rsid w:val="00BE1B9E"/>
    <w:rsid w:val="00BE3132"/>
    <w:rsid w:val="00BE6854"/>
    <w:rsid w:val="00BE799A"/>
    <w:rsid w:val="00BE7EC9"/>
    <w:rsid w:val="00BF298D"/>
    <w:rsid w:val="00BF3DB8"/>
    <w:rsid w:val="00BF4EDF"/>
    <w:rsid w:val="00BF533F"/>
    <w:rsid w:val="00BF659B"/>
    <w:rsid w:val="00BF6B8A"/>
    <w:rsid w:val="00C0107F"/>
    <w:rsid w:val="00C0143C"/>
    <w:rsid w:val="00C03CD8"/>
    <w:rsid w:val="00C048C5"/>
    <w:rsid w:val="00C06A14"/>
    <w:rsid w:val="00C0738C"/>
    <w:rsid w:val="00C10216"/>
    <w:rsid w:val="00C12F1C"/>
    <w:rsid w:val="00C13373"/>
    <w:rsid w:val="00C14DED"/>
    <w:rsid w:val="00C1618A"/>
    <w:rsid w:val="00C21ABC"/>
    <w:rsid w:val="00C22264"/>
    <w:rsid w:val="00C231D9"/>
    <w:rsid w:val="00C23F30"/>
    <w:rsid w:val="00C241EB"/>
    <w:rsid w:val="00C25749"/>
    <w:rsid w:val="00C26D5A"/>
    <w:rsid w:val="00C26FF1"/>
    <w:rsid w:val="00C3089F"/>
    <w:rsid w:val="00C3091B"/>
    <w:rsid w:val="00C320B3"/>
    <w:rsid w:val="00C352FB"/>
    <w:rsid w:val="00C3633B"/>
    <w:rsid w:val="00C37A9F"/>
    <w:rsid w:val="00C40952"/>
    <w:rsid w:val="00C417D1"/>
    <w:rsid w:val="00C42E65"/>
    <w:rsid w:val="00C43505"/>
    <w:rsid w:val="00C45BE7"/>
    <w:rsid w:val="00C45E4F"/>
    <w:rsid w:val="00C46A0E"/>
    <w:rsid w:val="00C50707"/>
    <w:rsid w:val="00C519ED"/>
    <w:rsid w:val="00C51C9F"/>
    <w:rsid w:val="00C61C8F"/>
    <w:rsid w:val="00C62428"/>
    <w:rsid w:val="00C624D3"/>
    <w:rsid w:val="00C62EA9"/>
    <w:rsid w:val="00C72837"/>
    <w:rsid w:val="00C7294C"/>
    <w:rsid w:val="00C73911"/>
    <w:rsid w:val="00C7455A"/>
    <w:rsid w:val="00C74CEF"/>
    <w:rsid w:val="00C76380"/>
    <w:rsid w:val="00C7721B"/>
    <w:rsid w:val="00C80B64"/>
    <w:rsid w:val="00C8240E"/>
    <w:rsid w:val="00C825D9"/>
    <w:rsid w:val="00C838AF"/>
    <w:rsid w:val="00C919B3"/>
    <w:rsid w:val="00C91D51"/>
    <w:rsid w:val="00C92367"/>
    <w:rsid w:val="00C92B0A"/>
    <w:rsid w:val="00C92E82"/>
    <w:rsid w:val="00C955A5"/>
    <w:rsid w:val="00C95E5E"/>
    <w:rsid w:val="00CA1496"/>
    <w:rsid w:val="00CA582E"/>
    <w:rsid w:val="00CA612B"/>
    <w:rsid w:val="00CA6155"/>
    <w:rsid w:val="00CA6A4E"/>
    <w:rsid w:val="00CA6F81"/>
    <w:rsid w:val="00CB055D"/>
    <w:rsid w:val="00CB4699"/>
    <w:rsid w:val="00CB542E"/>
    <w:rsid w:val="00CB5BB7"/>
    <w:rsid w:val="00CB7AB4"/>
    <w:rsid w:val="00CC0150"/>
    <w:rsid w:val="00CC0C69"/>
    <w:rsid w:val="00CC19EC"/>
    <w:rsid w:val="00CC2022"/>
    <w:rsid w:val="00CC70CE"/>
    <w:rsid w:val="00CC7802"/>
    <w:rsid w:val="00CD25DD"/>
    <w:rsid w:val="00CD72E1"/>
    <w:rsid w:val="00CE0378"/>
    <w:rsid w:val="00CE0A10"/>
    <w:rsid w:val="00CE0B39"/>
    <w:rsid w:val="00CE0BAE"/>
    <w:rsid w:val="00CE3C0E"/>
    <w:rsid w:val="00CE3C17"/>
    <w:rsid w:val="00CE3E6A"/>
    <w:rsid w:val="00CE5619"/>
    <w:rsid w:val="00CE6516"/>
    <w:rsid w:val="00CE6F18"/>
    <w:rsid w:val="00CE6FFD"/>
    <w:rsid w:val="00CE75F2"/>
    <w:rsid w:val="00CF1D89"/>
    <w:rsid w:val="00CF740D"/>
    <w:rsid w:val="00CF7543"/>
    <w:rsid w:val="00CF7680"/>
    <w:rsid w:val="00D01EE5"/>
    <w:rsid w:val="00D1065B"/>
    <w:rsid w:val="00D10DCB"/>
    <w:rsid w:val="00D10F52"/>
    <w:rsid w:val="00D113A0"/>
    <w:rsid w:val="00D12769"/>
    <w:rsid w:val="00D13173"/>
    <w:rsid w:val="00D15863"/>
    <w:rsid w:val="00D200A4"/>
    <w:rsid w:val="00D20260"/>
    <w:rsid w:val="00D20985"/>
    <w:rsid w:val="00D21575"/>
    <w:rsid w:val="00D23969"/>
    <w:rsid w:val="00D2429D"/>
    <w:rsid w:val="00D32102"/>
    <w:rsid w:val="00D332BE"/>
    <w:rsid w:val="00D36BB9"/>
    <w:rsid w:val="00D37422"/>
    <w:rsid w:val="00D41FA1"/>
    <w:rsid w:val="00D42F23"/>
    <w:rsid w:val="00D45DEA"/>
    <w:rsid w:val="00D45E77"/>
    <w:rsid w:val="00D45F2F"/>
    <w:rsid w:val="00D47BBE"/>
    <w:rsid w:val="00D50458"/>
    <w:rsid w:val="00D5182C"/>
    <w:rsid w:val="00D52AD3"/>
    <w:rsid w:val="00D52F5B"/>
    <w:rsid w:val="00D56DB0"/>
    <w:rsid w:val="00D57919"/>
    <w:rsid w:val="00D57A67"/>
    <w:rsid w:val="00D6236C"/>
    <w:rsid w:val="00D679FB"/>
    <w:rsid w:val="00D70105"/>
    <w:rsid w:val="00D705F9"/>
    <w:rsid w:val="00D72D1A"/>
    <w:rsid w:val="00D75EA8"/>
    <w:rsid w:val="00D762CA"/>
    <w:rsid w:val="00D77681"/>
    <w:rsid w:val="00D776E0"/>
    <w:rsid w:val="00D80FD3"/>
    <w:rsid w:val="00D830BB"/>
    <w:rsid w:val="00D8349F"/>
    <w:rsid w:val="00D85AC1"/>
    <w:rsid w:val="00D86B6E"/>
    <w:rsid w:val="00D8729A"/>
    <w:rsid w:val="00D9003B"/>
    <w:rsid w:val="00D910F7"/>
    <w:rsid w:val="00D947F6"/>
    <w:rsid w:val="00D94B5E"/>
    <w:rsid w:val="00D960EA"/>
    <w:rsid w:val="00D96200"/>
    <w:rsid w:val="00D97107"/>
    <w:rsid w:val="00DA1B9A"/>
    <w:rsid w:val="00DA271B"/>
    <w:rsid w:val="00DA287A"/>
    <w:rsid w:val="00DA2B97"/>
    <w:rsid w:val="00DA7975"/>
    <w:rsid w:val="00DB2003"/>
    <w:rsid w:val="00DB342E"/>
    <w:rsid w:val="00DB668C"/>
    <w:rsid w:val="00DB79A4"/>
    <w:rsid w:val="00DB7FF9"/>
    <w:rsid w:val="00DC1570"/>
    <w:rsid w:val="00DC2360"/>
    <w:rsid w:val="00DC24E5"/>
    <w:rsid w:val="00DC300E"/>
    <w:rsid w:val="00DC3251"/>
    <w:rsid w:val="00DC446F"/>
    <w:rsid w:val="00DC44FE"/>
    <w:rsid w:val="00DC47B2"/>
    <w:rsid w:val="00DC5920"/>
    <w:rsid w:val="00DD0991"/>
    <w:rsid w:val="00DD0B7F"/>
    <w:rsid w:val="00DD4723"/>
    <w:rsid w:val="00DD59AB"/>
    <w:rsid w:val="00DE1131"/>
    <w:rsid w:val="00DE3588"/>
    <w:rsid w:val="00DE4767"/>
    <w:rsid w:val="00DE6C5C"/>
    <w:rsid w:val="00DE79D1"/>
    <w:rsid w:val="00DE7F20"/>
    <w:rsid w:val="00DF0018"/>
    <w:rsid w:val="00DF30FD"/>
    <w:rsid w:val="00DF3719"/>
    <w:rsid w:val="00DF4DC7"/>
    <w:rsid w:val="00DF54FE"/>
    <w:rsid w:val="00DF5E45"/>
    <w:rsid w:val="00DF7897"/>
    <w:rsid w:val="00DF7E8A"/>
    <w:rsid w:val="00E019BA"/>
    <w:rsid w:val="00E05C6A"/>
    <w:rsid w:val="00E05DEF"/>
    <w:rsid w:val="00E05E73"/>
    <w:rsid w:val="00E10341"/>
    <w:rsid w:val="00E125C3"/>
    <w:rsid w:val="00E12E32"/>
    <w:rsid w:val="00E144EC"/>
    <w:rsid w:val="00E14A0B"/>
    <w:rsid w:val="00E17978"/>
    <w:rsid w:val="00E23201"/>
    <w:rsid w:val="00E23AE9"/>
    <w:rsid w:val="00E245C7"/>
    <w:rsid w:val="00E24C48"/>
    <w:rsid w:val="00E307EE"/>
    <w:rsid w:val="00E30917"/>
    <w:rsid w:val="00E32DA2"/>
    <w:rsid w:val="00E33A22"/>
    <w:rsid w:val="00E34104"/>
    <w:rsid w:val="00E36CDD"/>
    <w:rsid w:val="00E376DF"/>
    <w:rsid w:val="00E3790A"/>
    <w:rsid w:val="00E4229E"/>
    <w:rsid w:val="00E438A8"/>
    <w:rsid w:val="00E47C0E"/>
    <w:rsid w:val="00E508FE"/>
    <w:rsid w:val="00E50925"/>
    <w:rsid w:val="00E53C36"/>
    <w:rsid w:val="00E54FC9"/>
    <w:rsid w:val="00E55589"/>
    <w:rsid w:val="00E558DE"/>
    <w:rsid w:val="00E565B8"/>
    <w:rsid w:val="00E626B5"/>
    <w:rsid w:val="00E626E6"/>
    <w:rsid w:val="00E638E4"/>
    <w:rsid w:val="00E63A79"/>
    <w:rsid w:val="00E63E30"/>
    <w:rsid w:val="00E64EF6"/>
    <w:rsid w:val="00E65682"/>
    <w:rsid w:val="00E70A74"/>
    <w:rsid w:val="00E70E22"/>
    <w:rsid w:val="00E726DA"/>
    <w:rsid w:val="00E73319"/>
    <w:rsid w:val="00E751F3"/>
    <w:rsid w:val="00E75C68"/>
    <w:rsid w:val="00E75DB6"/>
    <w:rsid w:val="00E76B1B"/>
    <w:rsid w:val="00E772CC"/>
    <w:rsid w:val="00E776C3"/>
    <w:rsid w:val="00E826A2"/>
    <w:rsid w:val="00E83142"/>
    <w:rsid w:val="00E83481"/>
    <w:rsid w:val="00E83616"/>
    <w:rsid w:val="00E8423D"/>
    <w:rsid w:val="00E85165"/>
    <w:rsid w:val="00E857C9"/>
    <w:rsid w:val="00E85C63"/>
    <w:rsid w:val="00E863D4"/>
    <w:rsid w:val="00E8748E"/>
    <w:rsid w:val="00E87537"/>
    <w:rsid w:val="00E87A23"/>
    <w:rsid w:val="00E929AB"/>
    <w:rsid w:val="00E92A5D"/>
    <w:rsid w:val="00E932D0"/>
    <w:rsid w:val="00E93C6C"/>
    <w:rsid w:val="00E950B4"/>
    <w:rsid w:val="00E95A52"/>
    <w:rsid w:val="00E962E5"/>
    <w:rsid w:val="00E96E93"/>
    <w:rsid w:val="00EA2F8C"/>
    <w:rsid w:val="00EA4961"/>
    <w:rsid w:val="00EA5266"/>
    <w:rsid w:val="00EB2301"/>
    <w:rsid w:val="00EC11A6"/>
    <w:rsid w:val="00EC1695"/>
    <w:rsid w:val="00EC249A"/>
    <w:rsid w:val="00EC6C6C"/>
    <w:rsid w:val="00EC7180"/>
    <w:rsid w:val="00EC7614"/>
    <w:rsid w:val="00ED1474"/>
    <w:rsid w:val="00ED2D3C"/>
    <w:rsid w:val="00ED4E31"/>
    <w:rsid w:val="00ED7098"/>
    <w:rsid w:val="00EE4858"/>
    <w:rsid w:val="00EE4A1A"/>
    <w:rsid w:val="00EE5B9D"/>
    <w:rsid w:val="00EF27A0"/>
    <w:rsid w:val="00EF3108"/>
    <w:rsid w:val="00EF6297"/>
    <w:rsid w:val="00F0045F"/>
    <w:rsid w:val="00F034D1"/>
    <w:rsid w:val="00F10AE3"/>
    <w:rsid w:val="00F138E8"/>
    <w:rsid w:val="00F15949"/>
    <w:rsid w:val="00F15F13"/>
    <w:rsid w:val="00F1717C"/>
    <w:rsid w:val="00F172FB"/>
    <w:rsid w:val="00F17B6A"/>
    <w:rsid w:val="00F17FFD"/>
    <w:rsid w:val="00F22670"/>
    <w:rsid w:val="00F23063"/>
    <w:rsid w:val="00F233C9"/>
    <w:rsid w:val="00F25183"/>
    <w:rsid w:val="00F252F0"/>
    <w:rsid w:val="00F25CA4"/>
    <w:rsid w:val="00F30AB2"/>
    <w:rsid w:val="00F30CED"/>
    <w:rsid w:val="00F3245F"/>
    <w:rsid w:val="00F3590F"/>
    <w:rsid w:val="00F35C11"/>
    <w:rsid w:val="00F417DC"/>
    <w:rsid w:val="00F419F8"/>
    <w:rsid w:val="00F45A6A"/>
    <w:rsid w:val="00F461B1"/>
    <w:rsid w:val="00F478E9"/>
    <w:rsid w:val="00F47C2F"/>
    <w:rsid w:val="00F50617"/>
    <w:rsid w:val="00F509B5"/>
    <w:rsid w:val="00F52C64"/>
    <w:rsid w:val="00F53110"/>
    <w:rsid w:val="00F53215"/>
    <w:rsid w:val="00F5408C"/>
    <w:rsid w:val="00F55471"/>
    <w:rsid w:val="00F5716F"/>
    <w:rsid w:val="00F576CA"/>
    <w:rsid w:val="00F624F6"/>
    <w:rsid w:val="00F65372"/>
    <w:rsid w:val="00F66499"/>
    <w:rsid w:val="00F66E9A"/>
    <w:rsid w:val="00F70759"/>
    <w:rsid w:val="00F72CAB"/>
    <w:rsid w:val="00F73EF2"/>
    <w:rsid w:val="00F74716"/>
    <w:rsid w:val="00F751FE"/>
    <w:rsid w:val="00F75451"/>
    <w:rsid w:val="00F77A5F"/>
    <w:rsid w:val="00F8041E"/>
    <w:rsid w:val="00F815BE"/>
    <w:rsid w:val="00F82599"/>
    <w:rsid w:val="00F85A12"/>
    <w:rsid w:val="00F863B5"/>
    <w:rsid w:val="00F86C7D"/>
    <w:rsid w:val="00F90C09"/>
    <w:rsid w:val="00F93571"/>
    <w:rsid w:val="00F93D58"/>
    <w:rsid w:val="00F94260"/>
    <w:rsid w:val="00F96B13"/>
    <w:rsid w:val="00F96D4C"/>
    <w:rsid w:val="00F96D7E"/>
    <w:rsid w:val="00F97302"/>
    <w:rsid w:val="00FA145E"/>
    <w:rsid w:val="00FA1FAC"/>
    <w:rsid w:val="00FA204E"/>
    <w:rsid w:val="00FA364A"/>
    <w:rsid w:val="00FA4DCE"/>
    <w:rsid w:val="00FA5CBF"/>
    <w:rsid w:val="00FA7DD6"/>
    <w:rsid w:val="00FA7F24"/>
    <w:rsid w:val="00FB1782"/>
    <w:rsid w:val="00FB24F3"/>
    <w:rsid w:val="00FB40E5"/>
    <w:rsid w:val="00FB5EE5"/>
    <w:rsid w:val="00FC264D"/>
    <w:rsid w:val="00FC4FAF"/>
    <w:rsid w:val="00FC513A"/>
    <w:rsid w:val="00FC54A9"/>
    <w:rsid w:val="00FC6272"/>
    <w:rsid w:val="00FC687E"/>
    <w:rsid w:val="00FC6BF6"/>
    <w:rsid w:val="00FD179D"/>
    <w:rsid w:val="00FD1E3D"/>
    <w:rsid w:val="00FD2B92"/>
    <w:rsid w:val="00FD3160"/>
    <w:rsid w:val="00FD341F"/>
    <w:rsid w:val="00FD40A1"/>
    <w:rsid w:val="00FD4A32"/>
    <w:rsid w:val="00FD6BD6"/>
    <w:rsid w:val="00FD74B3"/>
    <w:rsid w:val="00FD778F"/>
    <w:rsid w:val="00FE15CE"/>
    <w:rsid w:val="00FE1ECC"/>
    <w:rsid w:val="00FE4C10"/>
    <w:rsid w:val="00FE7E91"/>
    <w:rsid w:val="00FF1263"/>
    <w:rsid w:val="00FF1FD6"/>
    <w:rsid w:val="00FF5A1D"/>
    <w:rsid w:val="00FF6495"/>
    <w:rsid w:val="079707BA"/>
    <w:rsid w:val="07997219"/>
    <w:rsid w:val="0965366A"/>
    <w:rsid w:val="0A405895"/>
    <w:rsid w:val="0A556F3F"/>
    <w:rsid w:val="103E2B29"/>
    <w:rsid w:val="10B06469"/>
    <w:rsid w:val="12AC377C"/>
    <w:rsid w:val="130F1339"/>
    <w:rsid w:val="1436127B"/>
    <w:rsid w:val="143A0E7F"/>
    <w:rsid w:val="15597B80"/>
    <w:rsid w:val="18856728"/>
    <w:rsid w:val="1E8248A2"/>
    <w:rsid w:val="1EFD5D0D"/>
    <w:rsid w:val="1FF02384"/>
    <w:rsid w:val="22C63292"/>
    <w:rsid w:val="29CF5E6A"/>
    <w:rsid w:val="2DEF0E2E"/>
    <w:rsid w:val="2F2A38E0"/>
    <w:rsid w:val="3AADA475"/>
    <w:rsid w:val="3C310A90"/>
    <w:rsid w:val="3E6E7558"/>
    <w:rsid w:val="3F7C7AA6"/>
    <w:rsid w:val="3FCA39AD"/>
    <w:rsid w:val="44F9396D"/>
    <w:rsid w:val="46963522"/>
    <w:rsid w:val="551C0925"/>
    <w:rsid w:val="555E7D70"/>
    <w:rsid w:val="59522F4C"/>
    <w:rsid w:val="62BD4703"/>
    <w:rsid w:val="66AC40AB"/>
    <w:rsid w:val="6727446C"/>
    <w:rsid w:val="67BE69DC"/>
    <w:rsid w:val="690B01F7"/>
    <w:rsid w:val="6E0B228D"/>
    <w:rsid w:val="71042526"/>
    <w:rsid w:val="762E32A2"/>
    <w:rsid w:val="776B45F1"/>
    <w:rsid w:val="7F7542B7"/>
    <w:rsid w:val="9FF6B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qFormat/>
    <w:uiPriority w:val="0"/>
    <w:pPr>
      <w:keepNext/>
      <w:keepLines/>
      <w:spacing w:before="280" w:after="290" w:line="376" w:lineRule="auto"/>
      <w:outlineLvl w:val="4"/>
    </w:pPr>
    <w:rPr>
      <w:b/>
      <w:bCs/>
      <w:sz w:val="28"/>
      <w:szCs w:val="28"/>
    </w:rPr>
  </w:style>
  <w:style w:type="paragraph" w:styleId="9">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10">
    <w:name w:val="heading 7"/>
    <w:basedOn w:val="1"/>
    <w:next w:val="1"/>
    <w:qFormat/>
    <w:uiPriority w:val="0"/>
    <w:pPr>
      <w:keepNext/>
      <w:keepLines/>
      <w:spacing w:before="240" w:after="64" w:line="320" w:lineRule="auto"/>
      <w:outlineLvl w:val="6"/>
    </w:pPr>
    <w:rPr>
      <w:b/>
      <w:bCs/>
      <w:sz w:val="24"/>
    </w:rPr>
  </w:style>
  <w:style w:type="paragraph" w:styleId="11">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endnote text"/>
    <w:basedOn w:val="1"/>
    <w:link w:val="471"/>
    <w:unhideWhenUsed/>
    <w:qFormat/>
    <w:uiPriority w:val="99"/>
    <w:pPr>
      <w:snapToGrid w:val="0"/>
      <w:jc w:val="left"/>
    </w:pPr>
  </w:style>
  <w:style w:type="paragraph" w:styleId="3">
    <w:name w:val="macro"/>
    <w:link w:val="358"/>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3">
    <w:name w:val="List 3"/>
    <w:basedOn w:val="1"/>
    <w:unhideWhenUsed/>
    <w:qFormat/>
    <w:uiPriority w:val="99"/>
    <w:pPr>
      <w:ind w:left="100" w:leftChars="400" w:hanging="200" w:hangingChars="200"/>
      <w:contextualSpacing/>
    </w:pPr>
  </w:style>
  <w:style w:type="paragraph" w:styleId="14">
    <w:name w:val="toc 7"/>
    <w:basedOn w:val="15"/>
    <w:next w:val="1"/>
    <w:semiHidden/>
    <w:qFormat/>
    <w:uiPriority w:val="0"/>
    <w:pPr>
      <w:ind w:left="500" w:leftChars="500"/>
    </w:pPr>
  </w:style>
  <w:style w:type="paragraph" w:styleId="15">
    <w:name w:val="toc 6"/>
    <w:basedOn w:val="16"/>
    <w:next w:val="1"/>
    <w:semiHidden/>
    <w:qFormat/>
    <w:uiPriority w:val="0"/>
    <w:pPr>
      <w:ind w:left="400" w:leftChars="400"/>
    </w:pPr>
  </w:style>
  <w:style w:type="paragraph" w:styleId="16">
    <w:name w:val="toc 5"/>
    <w:basedOn w:val="17"/>
    <w:next w:val="1"/>
    <w:semiHidden/>
    <w:qFormat/>
    <w:uiPriority w:val="0"/>
    <w:pPr>
      <w:ind w:left="300" w:leftChars="300"/>
    </w:pPr>
  </w:style>
  <w:style w:type="paragraph" w:styleId="17">
    <w:name w:val="toc 4"/>
    <w:basedOn w:val="18"/>
    <w:next w:val="1"/>
    <w:qFormat/>
    <w:uiPriority w:val="39"/>
    <w:pPr>
      <w:ind w:left="200" w:leftChars="200"/>
    </w:pPr>
  </w:style>
  <w:style w:type="paragraph" w:styleId="18">
    <w:name w:val="toc 3"/>
    <w:basedOn w:val="19"/>
    <w:next w:val="1"/>
    <w:qFormat/>
    <w:uiPriority w:val="39"/>
    <w:pPr>
      <w:ind w:left="100" w:leftChars="100"/>
    </w:pPr>
  </w:style>
  <w:style w:type="paragraph" w:styleId="19">
    <w:name w:val="toc 2"/>
    <w:basedOn w:val="20"/>
    <w:next w:val="1"/>
    <w:qFormat/>
    <w:uiPriority w:val="39"/>
  </w:style>
  <w:style w:type="paragraph" w:styleId="20">
    <w:name w:val="toc 1"/>
    <w:next w:val="1"/>
    <w:qFormat/>
    <w:uiPriority w:val="39"/>
    <w:pPr>
      <w:spacing w:beforeLines="25" w:afterLines="25"/>
      <w:jc w:val="both"/>
    </w:pPr>
    <w:rPr>
      <w:rFonts w:ascii="宋体" w:hAnsi="Times New Roman" w:eastAsia="宋体" w:cs="Times New Roman"/>
      <w:sz w:val="21"/>
      <w:lang w:val="en-US" w:eastAsia="zh-CN" w:bidi="ar-SA"/>
    </w:rPr>
  </w:style>
  <w:style w:type="paragraph" w:styleId="21">
    <w:name w:val="List Number 2"/>
    <w:basedOn w:val="1"/>
    <w:unhideWhenUsed/>
    <w:qFormat/>
    <w:uiPriority w:val="99"/>
    <w:pPr>
      <w:numPr>
        <w:ilvl w:val="0"/>
        <w:numId w:val="1"/>
      </w:numPr>
      <w:contextualSpacing/>
    </w:pPr>
  </w:style>
  <w:style w:type="paragraph" w:styleId="22">
    <w:name w:val="table of authorities"/>
    <w:basedOn w:val="1"/>
    <w:next w:val="1"/>
    <w:unhideWhenUsed/>
    <w:qFormat/>
    <w:uiPriority w:val="99"/>
    <w:pPr>
      <w:ind w:left="420" w:leftChars="200"/>
    </w:pPr>
  </w:style>
  <w:style w:type="paragraph" w:styleId="23">
    <w:name w:val="Note Heading"/>
    <w:basedOn w:val="1"/>
    <w:next w:val="1"/>
    <w:link w:val="490"/>
    <w:unhideWhenUsed/>
    <w:qFormat/>
    <w:uiPriority w:val="99"/>
    <w:pPr>
      <w:jc w:val="center"/>
    </w:pPr>
  </w:style>
  <w:style w:type="paragraph" w:styleId="24">
    <w:name w:val="List Bullet 4"/>
    <w:basedOn w:val="1"/>
    <w:unhideWhenUsed/>
    <w:qFormat/>
    <w:uiPriority w:val="99"/>
    <w:pPr>
      <w:numPr>
        <w:ilvl w:val="0"/>
        <w:numId w:val="2"/>
      </w:numPr>
      <w:contextualSpacing/>
    </w:pPr>
  </w:style>
  <w:style w:type="paragraph" w:styleId="25">
    <w:name w:val="index 8"/>
    <w:basedOn w:val="1"/>
    <w:next w:val="1"/>
    <w:unhideWhenUsed/>
    <w:qFormat/>
    <w:uiPriority w:val="99"/>
    <w:pPr>
      <w:ind w:left="1400" w:leftChars="1400"/>
    </w:pPr>
  </w:style>
  <w:style w:type="paragraph" w:styleId="26">
    <w:name w:val="E-mail Signature"/>
    <w:basedOn w:val="1"/>
    <w:link w:val="356"/>
    <w:unhideWhenUsed/>
    <w:qFormat/>
    <w:uiPriority w:val="99"/>
  </w:style>
  <w:style w:type="paragraph" w:styleId="27">
    <w:name w:val="List Number"/>
    <w:basedOn w:val="1"/>
    <w:unhideWhenUsed/>
    <w:qFormat/>
    <w:uiPriority w:val="99"/>
    <w:pPr>
      <w:numPr>
        <w:ilvl w:val="0"/>
        <w:numId w:val="3"/>
      </w:numPr>
      <w:contextualSpacing/>
    </w:pPr>
  </w:style>
  <w:style w:type="paragraph" w:styleId="28">
    <w:name w:val="Normal Indent"/>
    <w:basedOn w:val="1"/>
    <w:unhideWhenUsed/>
    <w:qFormat/>
    <w:uiPriority w:val="99"/>
    <w:pPr>
      <w:ind w:firstLine="420" w:firstLineChars="200"/>
    </w:pPr>
  </w:style>
  <w:style w:type="paragraph" w:styleId="29">
    <w:name w:val="caption"/>
    <w:basedOn w:val="1"/>
    <w:next w:val="1"/>
    <w:qFormat/>
    <w:uiPriority w:val="0"/>
    <w:rPr>
      <w:rFonts w:ascii="宋体" w:hAnsi="Arial" w:cs="Arial"/>
      <w:szCs w:val="20"/>
    </w:rPr>
  </w:style>
  <w:style w:type="paragraph" w:styleId="30">
    <w:name w:val="index 5"/>
    <w:basedOn w:val="1"/>
    <w:next w:val="1"/>
    <w:unhideWhenUsed/>
    <w:qFormat/>
    <w:uiPriority w:val="99"/>
    <w:pPr>
      <w:ind w:left="800" w:leftChars="800"/>
    </w:pPr>
  </w:style>
  <w:style w:type="paragraph" w:styleId="31">
    <w:name w:val="List Bullet"/>
    <w:basedOn w:val="1"/>
    <w:unhideWhenUsed/>
    <w:qFormat/>
    <w:uiPriority w:val="99"/>
    <w:pPr>
      <w:numPr>
        <w:ilvl w:val="0"/>
        <w:numId w:val="4"/>
      </w:numPr>
      <w:contextualSpacing/>
    </w:pPr>
  </w:style>
  <w:style w:type="paragraph" w:styleId="32">
    <w:name w:val="envelope address"/>
    <w:basedOn w:val="1"/>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3">
    <w:name w:val="Document Map"/>
    <w:basedOn w:val="1"/>
    <w:link w:val="472"/>
    <w:unhideWhenUsed/>
    <w:qFormat/>
    <w:uiPriority w:val="99"/>
    <w:rPr>
      <w:rFonts w:ascii="Microsoft YaHei UI" w:eastAsia="Microsoft YaHei UI"/>
      <w:sz w:val="18"/>
      <w:szCs w:val="18"/>
    </w:rPr>
  </w:style>
  <w:style w:type="paragraph" w:styleId="34">
    <w:name w:val="toa heading"/>
    <w:basedOn w:val="1"/>
    <w:next w:val="1"/>
    <w:unhideWhenUsed/>
    <w:qFormat/>
    <w:uiPriority w:val="99"/>
    <w:pPr>
      <w:spacing w:before="120"/>
    </w:pPr>
    <w:rPr>
      <w:rFonts w:asciiTheme="majorHAnsi" w:hAnsiTheme="majorHAnsi" w:cstheme="majorBidi"/>
      <w:sz w:val="24"/>
    </w:rPr>
  </w:style>
  <w:style w:type="paragraph" w:styleId="35">
    <w:name w:val="annotation text"/>
    <w:basedOn w:val="1"/>
    <w:link w:val="366"/>
    <w:unhideWhenUsed/>
    <w:qFormat/>
    <w:uiPriority w:val="99"/>
    <w:pPr>
      <w:jc w:val="left"/>
    </w:pPr>
  </w:style>
  <w:style w:type="paragraph" w:styleId="36">
    <w:name w:val="index 6"/>
    <w:basedOn w:val="1"/>
    <w:next w:val="1"/>
    <w:unhideWhenUsed/>
    <w:qFormat/>
    <w:uiPriority w:val="99"/>
    <w:pPr>
      <w:ind w:left="1000" w:leftChars="1000"/>
    </w:pPr>
  </w:style>
  <w:style w:type="paragraph" w:styleId="37">
    <w:name w:val="Salutation"/>
    <w:basedOn w:val="1"/>
    <w:next w:val="1"/>
    <w:link w:val="354"/>
    <w:unhideWhenUsed/>
    <w:qFormat/>
    <w:uiPriority w:val="99"/>
  </w:style>
  <w:style w:type="paragraph" w:styleId="38">
    <w:name w:val="Body Text 3"/>
    <w:basedOn w:val="1"/>
    <w:link w:val="487"/>
    <w:unhideWhenUsed/>
    <w:qFormat/>
    <w:uiPriority w:val="99"/>
    <w:pPr>
      <w:spacing w:after="120"/>
    </w:pPr>
    <w:rPr>
      <w:sz w:val="16"/>
      <w:szCs w:val="16"/>
    </w:rPr>
  </w:style>
  <w:style w:type="paragraph" w:styleId="39">
    <w:name w:val="Closing"/>
    <w:basedOn w:val="1"/>
    <w:link w:val="359"/>
    <w:unhideWhenUsed/>
    <w:qFormat/>
    <w:uiPriority w:val="99"/>
    <w:pPr>
      <w:ind w:left="100" w:leftChars="2100"/>
    </w:pPr>
  </w:style>
  <w:style w:type="paragraph" w:styleId="40">
    <w:name w:val="List Bullet 3"/>
    <w:basedOn w:val="1"/>
    <w:unhideWhenUsed/>
    <w:qFormat/>
    <w:uiPriority w:val="99"/>
    <w:pPr>
      <w:numPr>
        <w:ilvl w:val="0"/>
        <w:numId w:val="5"/>
      </w:numPr>
      <w:contextualSpacing/>
    </w:pPr>
  </w:style>
  <w:style w:type="paragraph" w:styleId="41">
    <w:name w:val="Body Text"/>
    <w:basedOn w:val="1"/>
    <w:link w:val="332"/>
    <w:unhideWhenUsed/>
    <w:qFormat/>
    <w:uiPriority w:val="99"/>
    <w:pPr>
      <w:spacing w:after="120"/>
    </w:pPr>
  </w:style>
  <w:style w:type="paragraph" w:styleId="42">
    <w:name w:val="Body Text Indent"/>
    <w:basedOn w:val="1"/>
    <w:link w:val="484"/>
    <w:unhideWhenUsed/>
    <w:qFormat/>
    <w:uiPriority w:val="99"/>
    <w:pPr>
      <w:spacing w:after="120"/>
      <w:ind w:left="420" w:leftChars="200"/>
    </w:pPr>
  </w:style>
  <w:style w:type="paragraph" w:styleId="43">
    <w:name w:val="List Number 3"/>
    <w:basedOn w:val="1"/>
    <w:unhideWhenUsed/>
    <w:qFormat/>
    <w:uiPriority w:val="99"/>
    <w:pPr>
      <w:numPr>
        <w:ilvl w:val="0"/>
        <w:numId w:val="6"/>
      </w:numPr>
      <w:contextualSpacing/>
    </w:pPr>
  </w:style>
  <w:style w:type="paragraph" w:styleId="44">
    <w:name w:val="List 2"/>
    <w:basedOn w:val="1"/>
    <w:unhideWhenUsed/>
    <w:qFormat/>
    <w:uiPriority w:val="99"/>
    <w:pPr>
      <w:ind w:left="100" w:leftChars="200" w:hanging="200" w:hangingChars="200"/>
      <w:contextualSpacing/>
    </w:pPr>
  </w:style>
  <w:style w:type="paragraph" w:styleId="45">
    <w:name w:val="List Continue"/>
    <w:basedOn w:val="1"/>
    <w:unhideWhenUsed/>
    <w:qFormat/>
    <w:uiPriority w:val="99"/>
    <w:pPr>
      <w:spacing w:after="120"/>
      <w:ind w:left="420" w:leftChars="200"/>
      <w:contextualSpacing/>
    </w:pPr>
  </w:style>
  <w:style w:type="paragraph" w:styleId="46">
    <w:name w:val="Block Text"/>
    <w:basedOn w:val="1"/>
    <w:unhideWhenUsed/>
    <w:qFormat/>
    <w:uiPriority w:val="99"/>
    <w:pPr>
      <w:spacing w:after="120"/>
      <w:ind w:left="1440" w:leftChars="700" w:right="1440" w:rightChars="700"/>
    </w:pPr>
  </w:style>
  <w:style w:type="paragraph" w:styleId="47">
    <w:name w:val="List Bullet 2"/>
    <w:basedOn w:val="1"/>
    <w:unhideWhenUsed/>
    <w:qFormat/>
    <w:uiPriority w:val="99"/>
    <w:pPr>
      <w:numPr>
        <w:ilvl w:val="0"/>
        <w:numId w:val="7"/>
      </w:numPr>
      <w:contextualSpacing/>
    </w:pPr>
  </w:style>
  <w:style w:type="paragraph" w:styleId="48">
    <w:name w:val="HTML Address"/>
    <w:basedOn w:val="1"/>
    <w:semiHidden/>
    <w:qFormat/>
    <w:uiPriority w:val="0"/>
    <w:rPr>
      <w:i/>
      <w:iCs/>
    </w:rPr>
  </w:style>
  <w:style w:type="paragraph" w:styleId="49">
    <w:name w:val="index 4"/>
    <w:basedOn w:val="1"/>
    <w:next w:val="1"/>
    <w:unhideWhenUsed/>
    <w:qFormat/>
    <w:uiPriority w:val="99"/>
    <w:pPr>
      <w:ind w:left="600" w:leftChars="600"/>
    </w:pPr>
  </w:style>
  <w:style w:type="paragraph" w:styleId="50">
    <w:name w:val="Plain Text"/>
    <w:basedOn w:val="1"/>
    <w:link w:val="355"/>
    <w:unhideWhenUsed/>
    <w:qFormat/>
    <w:uiPriority w:val="99"/>
    <w:rPr>
      <w:rFonts w:ascii="宋体" w:hAnsi="Courier New" w:cs="Courier New"/>
      <w:szCs w:val="21"/>
    </w:rPr>
  </w:style>
  <w:style w:type="paragraph" w:styleId="51">
    <w:name w:val="List Bullet 5"/>
    <w:basedOn w:val="1"/>
    <w:unhideWhenUsed/>
    <w:qFormat/>
    <w:uiPriority w:val="99"/>
    <w:pPr>
      <w:numPr>
        <w:ilvl w:val="0"/>
        <w:numId w:val="8"/>
      </w:numPr>
      <w:contextualSpacing/>
    </w:pPr>
  </w:style>
  <w:style w:type="paragraph" w:styleId="52">
    <w:name w:val="List Number 4"/>
    <w:basedOn w:val="1"/>
    <w:unhideWhenUsed/>
    <w:qFormat/>
    <w:uiPriority w:val="99"/>
    <w:pPr>
      <w:numPr>
        <w:ilvl w:val="0"/>
        <w:numId w:val="9"/>
      </w:numPr>
      <w:contextualSpacing/>
    </w:pPr>
  </w:style>
  <w:style w:type="paragraph" w:styleId="53">
    <w:name w:val="toc 8"/>
    <w:basedOn w:val="14"/>
    <w:next w:val="1"/>
    <w:semiHidden/>
    <w:qFormat/>
    <w:uiPriority w:val="0"/>
  </w:style>
  <w:style w:type="paragraph" w:styleId="54">
    <w:name w:val="index 3"/>
    <w:basedOn w:val="1"/>
    <w:next w:val="1"/>
    <w:unhideWhenUsed/>
    <w:qFormat/>
    <w:uiPriority w:val="99"/>
    <w:pPr>
      <w:ind w:left="400" w:leftChars="400"/>
    </w:pPr>
  </w:style>
  <w:style w:type="paragraph" w:styleId="55">
    <w:name w:val="Date"/>
    <w:basedOn w:val="1"/>
    <w:next w:val="1"/>
    <w:link w:val="418"/>
    <w:unhideWhenUsed/>
    <w:qFormat/>
    <w:uiPriority w:val="99"/>
    <w:pPr>
      <w:ind w:left="100" w:leftChars="2500"/>
    </w:pPr>
  </w:style>
  <w:style w:type="paragraph" w:styleId="56">
    <w:name w:val="Body Text Indent 2"/>
    <w:basedOn w:val="1"/>
    <w:link w:val="488"/>
    <w:unhideWhenUsed/>
    <w:qFormat/>
    <w:uiPriority w:val="99"/>
    <w:pPr>
      <w:spacing w:after="120" w:line="480" w:lineRule="auto"/>
      <w:ind w:left="420" w:leftChars="200"/>
    </w:pPr>
  </w:style>
  <w:style w:type="paragraph" w:styleId="57">
    <w:name w:val="List Continue 5"/>
    <w:basedOn w:val="1"/>
    <w:unhideWhenUsed/>
    <w:qFormat/>
    <w:uiPriority w:val="99"/>
    <w:pPr>
      <w:spacing w:after="120"/>
      <w:ind w:left="2100" w:leftChars="1000"/>
      <w:contextualSpacing/>
    </w:pPr>
  </w:style>
  <w:style w:type="paragraph" w:styleId="58">
    <w:name w:val="Balloon Text"/>
    <w:basedOn w:val="1"/>
    <w:link w:val="365"/>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unhideWhenUsed/>
    <w:qFormat/>
    <w:uiPriority w:val="99"/>
    <w:pPr>
      <w:ind w:left="100" w:leftChars="2100"/>
    </w:pPr>
  </w:style>
  <w:style w:type="paragraph" w:styleId="63">
    <w:name w:val="List Continue 4"/>
    <w:basedOn w:val="1"/>
    <w:unhideWhenUsed/>
    <w:qFormat/>
    <w:uiPriority w:val="99"/>
    <w:pPr>
      <w:spacing w:after="120"/>
      <w:ind w:left="1680" w:leftChars="800"/>
      <w:contextualSpacing/>
    </w:pPr>
  </w:style>
  <w:style w:type="paragraph" w:styleId="64">
    <w:name w:val="index heading"/>
    <w:basedOn w:val="1"/>
    <w:next w:val="65"/>
    <w:unhideWhenUsed/>
    <w:qFormat/>
    <w:uiPriority w:val="99"/>
    <w:pPr>
      <w:spacing w:beforeLines="100" w:afterLines="100"/>
      <w:jc w:val="center"/>
    </w:pPr>
    <w:rPr>
      <w:rFonts w:eastAsia="黑体" w:asciiTheme="majorHAnsi" w:hAnsiTheme="majorHAnsi" w:cstheme="majorBidi"/>
      <w:bCs/>
    </w:rPr>
  </w:style>
  <w:style w:type="paragraph" w:styleId="65">
    <w:name w:val="index 1"/>
    <w:basedOn w:val="1"/>
    <w:next w:val="1"/>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unhideWhenUsed/>
    <w:qFormat/>
    <w:uiPriority w:val="99"/>
    <w:pPr>
      <w:numPr>
        <w:ilvl w:val="0"/>
        <w:numId w:val="10"/>
      </w:numPr>
      <w:contextualSpacing/>
    </w:pPr>
  </w:style>
  <w:style w:type="paragraph" w:styleId="68">
    <w:name w:val="List"/>
    <w:basedOn w:val="1"/>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unhideWhenUsed/>
    <w:qFormat/>
    <w:uiPriority w:val="99"/>
    <w:pPr>
      <w:ind w:left="100" w:leftChars="800" w:hanging="200" w:hangingChars="200"/>
      <w:contextualSpacing/>
    </w:pPr>
  </w:style>
  <w:style w:type="paragraph" w:styleId="71">
    <w:name w:val="Body Text Indent 3"/>
    <w:basedOn w:val="1"/>
    <w:link w:val="489"/>
    <w:unhideWhenUsed/>
    <w:qFormat/>
    <w:uiPriority w:val="99"/>
    <w:pPr>
      <w:spacing w:after="120"/>
      <w:ind w:left="420" w:leftChars="200"/>
    </w:pPr>
    <w:rPr>
      <w:sz w:val="16"/>
      <w:szCs w:val="16"/>
    </w:rPr>
  </w:style>
  <w:style w:type="paragraph" w:styleId="72">
    <w:name w:val="index 7"/>
    <w:basedOn w:val="1"/>
    <w:next w:val="1"/>
    <w:unhideWhenUsed/>
    <w:qFormat/>
    <w:uiPriority w:val="99"/>
    <w:pPr>
      <w:ind w:left="1200" w:leftChars="1200"/>
    </w:pPr>
  </w:style>
  <w:style w:type="paragraph" w:styleId="73">
    <w:name w:val="index 9"/>
    <w:basedOn w:val="1"/>
    <w:next w:val="1"/>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3"/>
    <w:next w:val="1"/>
    <w:semiHidden/>
    <w:qFormat/>
    <w:uiPriority w:val="0"/>
  </w:style>
  <w:style w:type="paragraph" w:styleId="76">
    <w:name w:val="Body Text 2"/>
    <w:basedOn w:val="1"/>
    <w:link w:val="486"/>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479"/>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unhideWhenUsed/>
    <w:qFormat/>
    <w:uiPriority w:val="99"/>
    <w:rPr>
      <w:sz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5"/>
    <w:next w:val="35"/>
    <w:link w:val="367"/>
    <w:unhideWhenUsed/>
    <w:qFormat/>
    <w:uiPriority w:val="99"/>
    <w:rPr>
      <w:b/>
      <w:bCs/>
    </w:rPr>
  </w:style>
  <w:style w:type="paragraph" w:styleId="86">
    <w:name w:val="Body Text First Indent"/>
    <w:basedOn w:val="41"/>
    <w:link w:val="483"/>
    <w:unhideWhenUsed/>
    <w:qFormat/>
    <w:uiPriority w:val="99"/>
    <w:pPr>
      <w:ind w:firstLine="420" w:firstLineChars="100"/>
    </w:pPr>
  </w:style>
  <w:style w:type="paragraph" w:styleId="87">
    <w:name w:val="Body Text First Indent 2"/>
    <w:basedOn w:val="42"/>
    <w:link w:val="485"/>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0">
    <w:name w:val="Table Theme"/>
    <w:basedOn w:val="8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1">
    <w:name w:val="Table Colorful 1"/>
    <w:basedOn w:val="88"/>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unhideWhenUsed/>
    <w:qFormat/>
    <w:uiPriority w:val="99"/>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95">
    <w:name w:val="Table Classic 1"/>
    <w:basedOn w:val="88"/>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unhideWhenUsed/>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unhideWhenUsed/>
    <w:qFormat/>
    <w:uiPriority w:val="99"/>
    <w:pPr>
      <w:widowControl w:val="0"/>
      <w:jc w:val="both"/>
    </w:pPr>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unhideWhenUsed/>
    <w:qFormat/>
    <w:uiPriority w:val="99"/>
    <w:pPr>
      <w:widowControl w:val="0"/>
      <w:jc w:val="both"/>
    </w:pPr>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unhideWhenUsed/>
    <w:qFormat/>
    <w:uiPriority w:val="99"/>
    <w:pPr>
      <w:widowControl w:val="0"/>
      <w:jc w:val="both"/>
    </w:pPr>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unhideWhenUsed/>
    <w:qFormat/>
    <w:uiPriority w:val="99"/>
    <w:pPr>
      <w:widowControl w:val="0"/>
      <w:jc w:val="both"/>
    </w:pPr>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unhideWhenUsed/>
    <w:qFormat/>
    <w:uiPriority w:val="99"/>
    <w:pPr>
      <w:widowControl w:val="0"/>
      <w:jc w:val="both"/>
    </w:pPr>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unhideWhenUsed/>
    <w:qFormat/>
    <w:uiPriority w:val="99"/>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unhideWhenUsed/>
    <w:qFormat/>
    <w:uiPriority w:val="99"/>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unhideWhenUsed/>
    <w:qFormat/>
    <w:uiPriority w:val="99"/>
    <w:pPr>
      <w:widowControl w:val="0"/>
      <w:jc w:val="both"/>
    </w:pPr>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unhideWhenUsed/>
    <w:qFormat/>
    <w:uiPriority w:val="99"/>
    <w:pPr>
      <w:widowControl w:val="0"/>
      <w:jc w:val="both"/>
    </w:pPr>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unhideWhenUsed/>
    <w:qFormat/>
    <w:uiPriority w:val="99"/>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unhideWhenUsed/>
    <w:qFormat/>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unhideWhenUsed/>
    <w:qFormat/>
    <w:uiPriority w:val="60"/>
    <w:rPr>
      <w:color w:val="2E75B5" w:themeColor="accent1" w:themeShade="BF"/>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unhideWhenUsed/>
    <w:qFormat/>
    <w:uiPriority w:val="60"/>
    <w:rPr>
      <w:color w:val="C559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unhideWhenUsed/>
    <w:qFormat/>
    <w:uiPriority w:val="60"/>
    <w:rPr>
      <w:color w:val="7B7B7B" w:themeColor="accent3" w:themeShade="BF"/>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unhideWhenUsed/>
    <w:qFormat/>
    <w:uiPriority w:val="60"/>
    <w:rPr>
      <w:color w:val="BE8F00" w:themeColor="accent4" w:themeShade="BF"/>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unhideWhenUsed/>
    <w:qFormat/>
    <w:uiPriority w:val="60"/>
    <w:rPr>
      <w:color w:val="2F5496" w:themeColor="accent5" w:themeShade="BF"/>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unhideWhenUsed/>
    <w:qFormat/>
    <w:uiPriority w:val="60"/>
    <w:rPr>
      <w:color w:val="538135" w:themeColor="accent6" w:themeShade="BF"/>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unhideWhenUsed/>
    <w:qFormat/>
    <w:uiPriority w:val="65"/>
    <w:rPr>
      <w:color w:val="000000" w:themeColor="text1"/>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unhideWhenUsed/>
    <w:qFormat/>
    <w:uiPriority w:val="65"/>
    <w:rPr>
      <w:color w:val="000000" w:themeColor="text1"/>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unhideWhenUsed/>
    <w:qFormat/>
    <w:uiPriority w:val="65"/>
    <w:rPr>
      <w:color w:val="000000" w:themeColor="text1"/>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unhideWhenUsed/>
    <w:qFormat/>
    <w:uiPriority w:val="65"/>
    <w:rPr>
      <w:color w:val="000000" w:themeColor="text1"/>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unhideWhenUsed/>
    <w:qFormat/>
    <w:uiPriority w:val="65"/>
    <w:rPr>
      <w:color w:val="000000" w:themeColor="text1"/>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unhideWhenUsed/>
    <w:qFormat/>
    <w:uiPriority w:val="65"/>
    <w:rPr>
      <w:color w:val="000000" w:themeColor="text1"/>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unhideWhenUsed/>
    <w:qFormat/>
    <w:uiPriority w:val="65"/>
    <w:rPr>
      <w:color w:val="000000" w:themeColor="text1"/>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unhideWhenUsed/>
    <w:qFormat/>
    <w:uiPriority w:val="66"/>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unhideWhenUsed/>
    <w:qFormat/>
    <w:uiPriority w:val="66"/>
    <w:rPr>
      <w:rFonts w:asciiTheme="majorHAnsi" w:hAnsiTheme="majorHAnsi" w:eastAsiaTheme="majorEastAsia" w:cstheme="majorBidi"/>
      <w:color w:val="000000" w:themeColor="text1"/>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unhideWhenUsed/>
    <w:qFormat/>
    <w:uiPriority w:val="66"/>
    <w:rPr>
      <w:rFonts w:asciiTheme="majorHAnsi" w:hAnsiTheme="majorHAnsi" w:eastAsiaTheme="majorEastAsia" w:cstheme="majorBidi"/>
      <w:color w:val="000000" w:themeColor="text1"/>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unhideWhenUsed/>
    <w:qFormat/>
    <w:uiPriority w:val="66"/>
    <w:rPr>
      <w:rFonts w:asciiTheme="majorHAnsi" w:hAnsiTheme="majorHAnsi" w:eastAsiaTheme="majorEastAsia" w:cstheme="majorBidi"/>
      <w:color w:val="000000" w:themeColor="text1"/>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unhideWhenUsed/>
    <w:qFormat/>
    <w:uiPriority w:val="66"/>
    <w:rPr>
      <w:rFonts w:asciiTheme="majorHAnsi" w:hAnsiTheme="majorHAnsi" w:eastAsiaTheme="majorEastAsia" w:cstheme="majorBidi"/>
      <w:color w:val="000000" w:themeColor="text1"/>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unhideWhenUsed/>
    <w:qFormat/>
    <w:uiPriority w:val="66"/>
    <w:rPr>
      <w:rFonts w:asciiTheme="majorHAnsi" w:hAnsiTheme="majorHAnsi" w:eastAsiaTheme="majorEastAsia" w:cstheme="majorBidi"/>
      <w:color w:val="000000" w:themeColor="text1"/>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unhideWhenUsed/>
    <w:qFormat/>
    <w:uiPriority w:val="66"/>
    <w:rPr>
      <w:rFonts w:asciiTheme="majorHAnsi" w:hAnsiTheme="majorHAnsi" w:eastAsiaTheme="majorEastAsia" w:cstheme="majorBidi"/>
      <w:color w:val="000000" w:themeColor="text1"/>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CellMar>
        <w:top w:w="0" w:type="dxa"/>
        <w:left w:w="108" w:type="dxa"/>
        <w:bottom w:w="0" w:type="dxa"/>
        <w:right w:w="108" w:type="dxa"/>
      </w:tblCellMar>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CellMar>
        <w:top w:w="0" w:type="dxa"/>
        <w:left w:w="108" w:type="dxa"/>
        <w:bottom w:w="0" w:type="dxa"/>
        <w:right w:w="108" w:type="dxa"/>
      </w:tblCellMar>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CellMar>
        <w:top w:w="0" w:type="dxa"/>
        <w:left w:w="108" w:type="dxa"/>
        <w:bottom w:w="0" w:type="dxa"/>
        <w:right w:w="108" w:type="dxa"/>
      </w:tblCellMar>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unhideWhenUsed/>
    <w:qFormat/>
    <w:uiPriority w:val="68"/>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rPr>
      <w:tblPr/>
      <w:tcPr>
        <w:shd w:val="clear" w:color="auto" w:fill="E5E5E5"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unhideWhenUsed/>
    <w:qFormat/>
    <w:uiPriority w:val="68"/>
    <w:rPr>
      <w:rFonts w:asciiTheme="majorHAnsi" w:hAnsiTheme="majorHAnsi" w:eastAsiaTheme="majorEastAsia" w:cstheme="majorBidi"/>
      <w:color w:val="000000" w:themeColor="text1"/>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A"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unhideWhenUsed/>
    <w:qFormat/>
    <w:uiPriority w:val="68"/>
    <w:rPr>
      <w:rFonts w:asciiTheme="majorHAnsi" w:hAnsiTheme="majorHAnsi" w:eastAsiaTheme="majorEastAsia" w:cstheme="majorBidi"/>
      <w:color w:val="000000" w:themeColor="text1"/>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cPr>
      <w:shd w:val="clear" w:color="auto" w:fill="FADECC"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unhideWhenUsed/>
    <w:qFormat/>
    <w:uiPriority w:val="68"/>
    <w:rPr>
      <w:rFonts w:asciiTheme="majorHAnsi" w:hAnsiTheme="majorHAnsi" w:eastAsiaTheme="majorEastAsia" w:cstheme="majorBidi"/>
      <w:color w:val="000000" w:themeColor="text1"/>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unhideWhenUsed/>
    <w:qFormat/>
    <w:uiPriority w:val="68"/>
    <w:rPr>
      <w:rFonts w:asciiTheme="majorHAnsi" w:hAnsiTheme="majorHAnsi" w:eastAsiaTheme="majorEastAsia" w:cstheme="majorBidi"/>
      <w:color w:val="000000" w:themeColor="text1"/>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cPr>
      <w:shd w:val="clear" w:color="auto" w:fill="FFEFBF" w:themeFill="accent4" w:themeFillTint="3F"/>
    </w:tcPr>
    <w:tblStylePr w:type="firstRow">
      <w:rPr>
        <w:b/>
        <w:bCs/>
        <w:color w:val="000000" w:themeColor="text1"/>
      </w:rPr>
      <w:tblPr/>
      <w:tcPr>
        <w:shd w:val="clear" w:color="auto" w:fill="FFF8E5"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unhideWhenUsed/>
    <w:qFormat/>
    <w:uiPriority w:val="68"/>
    <w:rPr>
      <w:rFonts w:asciiTheme="majorHAnsi" w:hAnsiTheme="majorHAnsi" w:eastAsiaTheme="majorEastAsia" w:cstheme="majorBidi"/>
      <w:color w:val="000000" w:themeColor="text1"/>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cPr>
      <w:shd w:val="clear" w:color="auto" w:fill="D0DC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unhideWhenUsed/>
    <w:qFormat/>
    <w:uiPriority w:val="68"/>
    <w:rPr>
      <w:rFonts w:asciiTheme="majorHAnsi" w:hAnsiTheme="majorHAnsi" w:eastAsiaTheme="majorEastAsia" w:cstheme="majorBidi"/>
      <w:color w:val="000000" w:themeColor="text1"/>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ADECC"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FEFBF"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0DCF0"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unhideWhenUsed/>
    <w:qFormat/>
    <w:uiPriority w:val="70"/>
    <w:rPr>
      <w:color w:val="FFFFFF" w:themeColor="background1"/>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unhideWhenUsed/>
    <w:qFormat/>
    <w:uiPriority w:val="70"/>
    <w:rPr>
      <w:color w:val="FFFFFF" w:themeColor="background1"/>
    </w:rPr>
    <w:tblPr>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unhideWhenUsed/>
    <w:qFormat/>
    <w:uiPriority w:val="70"/>
    <w:rPr>
      <w:color w:val="FFFFFF" w:themeColor="background1"/>
    </w:rPr>
    <w:tblPr>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unhideWhenUsed/>
    <w:qFormat/>
    <w:uiPriority w:val="70"/>
    <w:rPr>
      <w:color w:val="FFFFFF" w:themeColor="background1"/>
    </w:rPr>
    <w:tblPr>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unhideWhenUsed/>
    <w:qFormat/>
    <w:uiPriority w:val="70"/>
    <w:rPr>
      <w:color w:val="FFFFFF" w:themeColor="background1"/>
    </w:rPr>
    <w:tblPr>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unhideWhenUsed/>
    <w:qFormat/>
    <w:uiPriority w:val="70"/>
    <w:rPr>
      <w:color w:val="FFFFFF" w:themeColor="background1"/>
    </w:rPr>
    <w:tblPr>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unhideWhenUsed/>
    <w:qFormat/>
    <w:uiPriority w:val="70"/>
    <w:rPr>
      <w:color w:val="FFFFFF" w:themeColor="background1"/>
    </w:rPr>
    <w:tblPr>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unhideWhenUsed/>
    <w:qFormat/>
    <w:uiPriority w:val="71"/>
    <w:rPr>
      <w:color w:val="000000" w:themeColor="text1"/>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rPr>
    </w:tblStylePr>
    <w:tblStylePr w:type="nwCell">
      <w:rPr>
        <w:color w:val="000000" w:themeColor="text1"/>
      </w:rPr>
    </w:tblStylePr>
  </w:style>
  <w:style w:type="table" w:styleId="211">
    <w:name w:val="Colorful Shading Accent 1"/>
    <w:basedOn w:val="88"/>
    <w:unhideWhenUsed/>
    <w:qFormat/>
    <w:uiPriority w:val="71"/>
    <w:rPr>
      <w:color w:val="000000" w:themeColor="text1"/>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rPr>
    </w:tblStylePr>
    <w:tblStylePr w:type="nwCell">
      <w:rPr>
        <w:color w:val="000000" w:themeColor="text1"/>
      </w:rPr>
    </w:tblStylePr>
  </w:style>
  <w:style w:type="table" w:styleId="212">
    <w:name w:val="Colorful Shading Accent 2"/>
    <w:basedOn w:val="88"/>
    <w:unhideWhenUsed/>
    <w:qFormat/>
    <w:uiPriority w:val="71"/>
    <w:rPr>
      <w:color w:val="000000" w:themeColor="text1"/>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80D" w:themeFill="accent2"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213">
    <w:name w:val="Colorful Shading Accent 3"/>
    <w:basedOn w:val="88"/>
    <w:unhideWhenUsed/>
    <w:qFormat/>
    <w:uiPriority w:val="71"/>
    <w:rPr>
      <w:color w:val="000000" w:themeColor="text1"/>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26262" w:themeFill="accent3"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unhideWhenUsed/>
    <w:qFormat/>
    <w:uiPriority w:val="71"/>
    <w:rPr>
      <w:color w:val="000000" w:themeColor="text1"/>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rPr>
    </w:tblStylePr>
    <w:tblStylePr w:type="nwCell">
      <w:rPr>
        <w:color w:val="000000" w:themeColor="text1"/>
      </w:rPr>
    </w:tblStylePr>
  </w:style>
  <w:style w:type="table" w:styleId="215">
    <w:name w:val="Colorful Shading Accent 5"/>
    <w:basedOn w:val="88"/>
    <w:unhideWhenUsed/>
    <w:qFormat/>
    <w:uiPriority w:val="71"/>
    <w:rPr>
      <w:color w:val="000000" w:themeColor="text1"/>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4378" w:themeFill="accent5"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216">
    <w:name w:val="Colorful Shading Accent 6"/>
    <w:basedOn w:val="88"/>
    <w:unhideWhenUsed/>
    <w:qFormat/>
    <w:uiPriority w:val="71"/>
    <w:rPr>
      <w:color w:val="000000" w:themeColor="text1"/>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rPr>
    </w:tblStylePr>
    <w:tblStylePr w:type="nwCell">
      <w:rPr>
        <w:color w:val="000000" w:themeColor="text1"/>
      </w:rPr>
    </w:tblStylePr>
  </w:style>
  <w:style w:type="table" w:styleId="217">
    <w:name w:val="Colorful List"/>
    <w:basedOn w:val="88"/>
    <w:unhideWhenUsed/>
    <w:qFormat/>
    <w:uiPriority w:val="72"/>
    <w:rPr>
      <w:color w:val="000000" w:themeColor="text1"/>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unhideWhenUsed/>
    <w:qFormat/>
    <w:uiPriority w:val="72"/>
    <w:rPr>
      <w:color w:val="000000" w:themeColor="text1"/>
    </w:rPr>
    <w:tblPr>
      <w:tblCellMar>
        <w:top w:w="0" w:type="dxa"/>
        <w:left w:w="108" w:type="dxa"/>
        <w:bottom w:w="0" w:type="dxa"/>
        <w:right w:w="108" w:type="dxa"/>
      </w:tblCellMar>
    </w:tblPr>
    <w:tcPr>
      <w:shd w:val="clear" w:color="auto" w:fill="EEF5FA" w:themeFill="accent1" w:themeFillTint="19"/>
    </w:tcPr>
    <w:tblStylePr w:type="firstRow">
      <w:rPr>
        <w:b/>
        <w:bCs/>
        <w:color w:val="FFFFFF" w:themeColor="background1"/>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unhideWhenUsed/>
    <w:qFormat/>
    <w:uiPriority w:val="72"/>
    <w:rPr>
      <w:color w:val="000000" w:themeColor="text1"/>
    </w:rPr>
    <w:tblPr>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unhideWhenUsed/>
    <w:qFormat/>
    <w:uiPriority w:val="72"/>
    <w:rPr>
      <w:color w:val="000000" w:themeColor="text1"/>
    </w:rPr>
    <w:tblPr>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unhideWhenUsed/>
    <w:qFormat/>
    <w:uiPriority w:val="72"/>
    <w:rPr>
      <w:color w:val="000000" w:themeColor="text1"/>
    </w:rPr>
    <w:tblPr>
      <w:tblCellMar>
        <w:top w:w="0" w:type="dxa"/>
        <w:left w:w="108" w:type="dxa"/>
        <w:bottom w:w="0" w:type="dxa"/>
        <w:right w:w="108" w:type="dxa"/>
      </w:tblCellMar>
    </w:tblPr>
    <w:tcPr>
      <w:shd w:val="clear" w:color="auto" w:fill="FFF8E5" w:themeFill="accent4" w:themeFillTint="19"/>
    </w:tcPr>
    <w:tblStylePr w:type="firstRow">
      <w:rPr>
        <w:b/>
        <w:bCs/>
        <w:color w:val="FFFFFF" w:themeColor="background1"/>
      </w:rPr>
      <w:tblPr/>
      <w:tcPr>
        <w:tcBorders>
          <w:bottom w:val="single" w:color="FFFFFF" w:themeColor="background1" w:sz="12" w:space="0"/>
        </w:tcBorders>
        <w:shd w:val="clear" w:color="auto" w:fill="838383" w:themeFill="accent3" w:themeFillShade="CC"/>
      </w:tcPr>
    </w:tblStylePr>
    <w:tblStylePr w:type="lastRow">
      <w:rPr>
        <w:b/>
        <w:bCs/>
        <w:color w:val="838383"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unhideWhenUsed/>
    <w:qFormat/>
    <w:uiPriority w:val="72"/>
    <w:rPr>
      <w:color w:val="000000" w:themeColor="text1"/>
    </w:rPr>
    <w:tblPr>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unhideWhenUsed/>
    <w:qFormat/>
    <w:uiPriority w:val="72"/>
    <w:rPr>
      <w:color w:val="000000" w:themeColor="text1"/>
    </w:rPr>
    <w:tblPr>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25AA0" w:themeFill="accent5" w:themeFillShade="CC"/>
      </w:tcPr>
    </w:tblStylePr>
    <w:tblStylePr w:type="lastRow">
      <w:rPr>
        <w:b/>
        <w:bCs/>
        <w:color w:val="325AA0"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5B5" w:themeFill="accent1" w:themeFillShade="BF"/>
      </w:tcPr>
    </w:tblStylePr>
    <w:tblStylePr w:type="lastCol">
      <w:rPr>
        <w:color w:val="FFFFFF" w:themeColor="background1"/>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55911" w:themeFill="accent2" w:themeFillShade="BF"/>
      </w:tcPr>
    </w:tblStylePr>
    <w:tblStylePr w:type="lastCol">
      <w:rPr>
        <w:color w:val="FFFFFF" w:themeColor="background1"/>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rPr>
      <w:tblPr/>
      <w:tcPr>
        <w:shd w:val="clear" w:color="auto" w:fill="DADADA"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E8F00" w:themeFill="accent4" w:themeFillShade="BF"/>
      </w:tcPr>
    </w:tblStylePr>
    <w:tblStylePr w:type="lastCol">
      <w:rPr>
        <w:color w:val="FFFFFF" w:themeColor="background1"/>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unhideWhenUsed/>
    <w:qFormat/>
    <w:uiPriority w:val="99"/>
    <w:rPr>
      <w:color w:val="954F72" w:themeColor="followedHyperlink"/>
      <w:u w:val="single"/>
    </w:rPr>
  </w:style>
  <w:style w:type="character" w:styleId="236">
    <w:name w:val="Emphasis"/>
    <w:basedOn w:val="231"/>
    <w:qFormat/>
    <w:uiPriority w:val="20"/>
    <w:rPr>
      <w:i/>
      <w:iCs/>
    </w:rPr>
  </w:style>
  <w:style w:type="character" w:styleId="237">
    <w:name w:val="line number"/>
    <w:basedOn w:val="231"/>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Lines="100"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Lines="50"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9"/>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Lines="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Lines="50" w:afterLines="50"/>
      <w:jc w:val="both"/>
      <w:textAlignment w:val="baseline"/>
      <w:outlineLvl w:val="2"/>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9"/>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Lines="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Lines="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Lines="50"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Lines="0" w:afterLines="0"/>
    </w:pPr>
  </w:style>
  <w:style w:type="paragraph" w:customStyle="1" w:styleId="319">
    <w:name w:val="术语定义三级条标题"/>
    <w:basedOn w:val="290"/>
    <w:next w:val="258"/>
    <w:qFormat/>
    <w:uiPriority w:val="0"/>
    <w:pPr>
      <w:spacing w:beforeLines="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Lines="0" w:afterLines="0"/>
    </w:pPr>
  </w:style>
  <w:style w:type="paragraph" w:customStyle="1" w:styleId="322">
    <w:name w:val="术语定义五级条标题"/>
    <w:basedOn w:val="300"/>
    <w:next w:val="258"/>
    <w:qFormat/>
    <w:uiPriority w:val="0"/>
    <w:pPr>
      <w:spacing w:beforeLines="0" w:afterLines="0"/>
    </w:pPr>
  </w:style>
  <w:style w:type="paragraph" w:customStyle="1" w:styleId="323">
    <w:name w:val="术语定义一级条标题"/>
    <w:basedOn w:val="260"/>
    <w:next w:val="258"/>
    <w:qFormat/>
    <w:uiPriority w:val="0"/>
    <w:pPr>
      <w:spacing w:beforeLines="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Lines="0" w:afterLines="0"/>
    </w:pPr>
    <w:rPr>
      <w:rFonts w:asciiTheme="majorEastAsia" w:eastAsiaTheme="majorEastAsia"/>
    </w:rPr>
  </w:style>
  <w:style w:type="paragraph" w:customStyle="1" w:styleId="327">
    <w:name w:val="三级无标题条"/>
    <w:basedOn w:val="290"/>
    <w:qFormat/>
    <w:uiPriority w:val="0"/>
    <w:pPr>
      <w:spacing w:beforeLines="0" w:afterLines="0"/>
    </w:pPr>
    <w:rPr>
      <w:rFonts w:asciiTheme="majorEastAsia" w:eastAsiaTheme="majorEastAsia"/>
    </w:rPr>
  </w:style>
  <w:style w:type="paragraph" w:customStyle="1" w:styleId="328">
    <w:name w:val="四级无标题条"/>
    <w:basedOn w:val="295"/>
    <w:qFormat/>
    <w:uiPriority w:val="0"/>
    <w:pPr>
      <w:spacing w:beforeLines="0" w:afterLines="0"/>
    </w:pPr>
    <w:rPr>
      <w:rFonts w:asciiTheme="majorEastAsia" w:eastAsiaTheme="majorEastAsia"/>
    </w:rPr>
  </w:style>
  <w:style w:type="paragraph" w:customStyle="1" w:styleId="329">
    <w:name w:val="五级无标题条"/>
    <w:basedOn w:val="300"/>
    <w:qFormat/>
    <w:uiPriority w:val="0"/>
    <w:pPr>
      <w:spacing w:beforeLines="0" w:afterLines="0"/>
    </w:pPr>
    <w:rPr>
      <w:rFonts w:asciiTheme="majorEastAsia" w:eastAsiaTheme="majorEastAsia"/>
    </w:rPr>
  </w:style>
  <w:style w:type="paragraph" w:customStyle="1" w:styleId="330">
    <w:name w:val="一级无标题条"/>
    <w:basedOn w:val="260"/>
    <w:qFormat/>
    <w:uiPriority w:val="0"/>
    <w:pPr>
      <w:spacing w:beforeLines="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Char"/>
    <w:basedOn w:val="231"/>
    <w:link w:val="41"/>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1"/>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39">
    <w:name w:val="标准称谓QB Char"/>
    <w:basedOn w:val="231"/>
    <w:link w:val="338"/>
    <w:qFormat/>
    <w:uiPriority w:val="0"/>
    <w:rPr>
      <w:rFonts w:ascii="黑体" w:hAnsi="黑体" w:eastAsia="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4"/>
    <w:next w:val="1"/>
    <w:unhideWhenUsed/>
    <w:qFormat/>
    <w:uiPriority w:val="39"/>
    <w:pPr>
      <w:outlineLvl w:val="9"/>
    </w:pPr>
  </w:style>
  <w:style w:type="character" w:customStyle="1" w:styleId="352">
    <w:name w:val="不明显参考1"/>
    <w:basedOn w:val="231"/>
    <w:qFormat/>
    <w:uiPriority w:val="31"/>
    <w:rPr>
      <w:smallCaps/>
      <w:color w:val="585858" w:themeColor="text1" w:themeTint="A6"/>
    </w:rPr>
  </w:style>
  <w:style w:type="character" w:customStyle="1" w:styleId="353">
    <w:name w:val="不明显强调1"/>
    <w:basedOn w:val="231"/>
    <w:qFormat/>
    <w:uiPriority w:val="19"/>
    <w:rPr>
      <w:i/>
      <w:iCs/>
      <w:color w:val="3F3F3F" w:themeColor="text1" w:themeTint="BF"/>
    </w:rPr>
  </w:style>
  <w:style w:type="character" w:customStyle="1" w:styleId="354">
    <w:name w:val="称呼 Char"/>
    <w:basedOn w:val="231"/>
    <w:link w:val="37"/>
    <w:semiHidden/>
    <w:qFormat/>
    <w:uiPriority w:val="99"/>
    <w:rPr>
      <w:kern w:val="2"/>
      <w:sz w:val="21"/>
      <w:szCs w:val="24"/>
    </w:rPr>
  </w:style>
  <w:style w:type="character" w:customStyle="1" w:styleId="355">
    <w:name w:val="纯文本 Char"/>
    <w:basedOn w:val="231"/>
    <w:link w:val="50"/>
    <w:semiHidden/>
    <w:qFormat/>
    <w:uiPriority w:val="99"/>
    <w:rPr>
      <w:rFonts w:ascii="宋体" w:hAnsi="Courier New" w:cs="Courier New"/>
      <w:kern w:val="2"/>
      <w:sz w:val="21"/>
      <w:szCs w:val="21"/>
    </w:rPr>
  </w:style>
  <w:style w:type="character" w:customStyle="1" w:styleId="356">
    <w:name w:val="电子邮件签名 Char"/>
    <w:basedOn w:val="231"/>
    <w:link w:val="26"/>
    <w:semiHidden/>
    <w:qFormat/>
    <w:uiPriority w:val="99"/>
    <w:rPr>
      <w:kern w:val="2"/>
      <w:sz w:val="21"/>
      <w:szCs w:val="24"/>
    </w:rPr>
  </w:style>
  <w:style w:type="character" w:customStyle="1" w:styleId="357">
    <w:name w:val="副标题 Char"/>
    <w:basedOn w:val="231"/>
    <w:link w:val="66"/>
    <w:qFormat/>
    <w:uiPriority w:val="11"/>
    <w:rPr>
      <w:rFonts w:asciiTheme="majorHAnsi" w:hAnsiTheme="majorHAnsi" w:cstheme="majorBidi"/>
      <w:b/>
      <w:bCs/>
      <w:kern w:val="28"/>
      <w:sz w:val="32"/>
      <w:szCs w:val="32"/>
    </w:rPr>
  </w:style>
  <w:style w:type="character" w:customStyle="1" w:styleId="358">
    <w:name w:val="宏文本 Char"/>
    <w:basedOn w:val="231"/>
    <w:link w:val="3"/>
    <w:semiHidden/>
    <w:qFormat/>
    <w:uiPriority w:val="99"/>
    <w:rPr>
      <w:rFonts w:ascii="Courier New" w:hAnsi="Courier New" w:cs="Courier New"/>
      <w:kern w:val="2"/>
      <w:sz w:val="24"/>
      <w:szCs w:val="24"/>
    </w:rPr>
  </w:style>
  <w:style w:type="character" w:customStyle="1" w:styleId="359">
    <w:name w:val="结束语 Char"/>
    <w:basedOn w:val="231"/>
    <w:link w:val="39"/>
    <w:semiHidden/>
    <w:qFormat/>
    <w:uiPriority w:val="99"/>
    <w:rPr>
      <w:kern w:val="2"/>
      <w:sz w:val="21"/>
      <w:szCs w:val="24"/>
    </w:rPr>
  </w:style>
  <w:style w:type="paragraph" w:customStyle="1" w:styleId="360">
    <w:name w:val="列出段落1"/>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rPr>
  </w:style>
  <w:style w:type="character" w:customStyle="1" w:styleId="362">
    <w:name w:val="明显强调1"/>
    <w:basedOn w:val="231"/>
    <w:qFormat/>
    <w:uiPriority w:val="21"/>
    <w:rPr>
      <w:i/>
      <w:iCs/>
      <w:color w:val="5B9BD5" w:themeColor="accent1"/>
    </w:rPr>
  </w:style>
  <w:style w:type="paragraph" w:customStyle="1" w:styleId="363">
    <w:name w:val="明显引用1"/>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rPr>
  </w:style>
  <w:style w:type="character" w:customStyle="1" w:styleId="364">
    <w:name w:val="明显引用 字符"/>
    <w:basedOn w:val="231"/>
    <w:link w:val="363"/>
    <w:qFormat/>
    <w:uiPriority w:val="30"/>
    <w:rPr>
      <w:i/>
      <w:iCs/>
      <w:color w:val="5B9BD5" w:themeColor="accent1"/>
      <w:kern w:val="2"/>
      <w:sz w:val="21"/>
      <w:szCs w:val="24"/>
    </w:rPr>
  </w:style>
  <w:style w:type="character" w:customStyle="1" w:styleId="365">
    <w:name w:val="批注框文本 Char"/>
    <w:basedOn w:val="231"/>
    <w:link w:val="58"/>
    <w:semiHidden/>
    <w:qFormat/>
    <w:uiPriority w:val="99"/>
    <w:rPr>
      <w:kern w:val="2"/>
      <w:sz w:val="18"/>
      <w:szCs w:val="18"/>
    </w:rPr>
  </w:style>
  <w:style w:type="character" w:customStyle="1" w:styleId="366">
    <w:name w:val="批注文字 Char"/>
    <w:basedOn w:val="231"/>
    <w:link w:val="35"/>
    <w:semiHidden/>
    <w:qFormat/>
    <w:uiPriority w:val="99"/>
    <w:rPr>
      <w:kern w:val="2"/>
      <w:sz w:val="21"/>
      <w:szCs w:val="24"/>
    </w:rPr>
  </w:style>
  <w:style w:type="character" w:customStyle="1" w:styleId="367">
    <w:name w:val="批注主题 Char"/>
    <w:basedOn w:val="366"/>
    <w:link w:val="85"/>
    <w:semiHidden/>
    <w:qFormat/>
    <w:uiPriority w:val="99"/>
    <w:rPr>
      <w:b/>
      <w:bCs/>
      <w:kern w:val="2"/>
      <w:sz w:val="21"/>
      <w:szCs w:val="24"/>
    </w:rPr>
  </w:style>
  <w:style w:type="character" w:customStyle="1" w:styleId="368">
    <w:name w:val="签名 Char"/>
    <w:basedOn w:val="231"/>
    <w:link w:val="62"/>
    <w:semiHidden/>
    <w:qFormat/>
    <w:uiPriority w:val="99"/>
    <w:rPr>
      <w:kern w:val="2"/>
      <w:sz w:val="21"/>
      <w:szCs w:val="24"/>
    </w:rPr>
  </w:style>
  <w:style w:type="table" w:customStyle="1" w:styleId="369">
    <w:name w:val="清单表 1 浅色1"/>
    <w:basedOn w:val="88"/>
    <w:qFormat/>
    <w:uiPriority w:val="46"/>
    <w:tblPr>
      <w:tblCellMar>
        <w:top w:w="0" w:type="dxa"/>
        <w:left w:w="108" w:type="dxa"/>
        <w:bottom w:w="0" w:type="dxa"/>
        <w:right w:w="108" w:type="dxa"/>
      </w:tblCellMar>
    </w:tbl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Pr>
      <w:tblCellMar>
        <w:top w:w="0" w:type="dxa"/>
        <w:left w:w="108" w:type="dxa"/>
        <w:bottom w:w="0" w:type="dxa"/>
        <w:right w:w="108" w:type="dxa"/>
      </w:tblCellMar>
    </w:tblPr>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Pr>
      <w:tblCellMar>
        <w:top w:w="0" w:type="dxa"/>
        <w:left w:w="108" w:type="dxa"/>
        <w:bottom w:w="0" w:type="dxa"/>
        <w:right w:w="108" w:type="dxa"/>
      </w:tblCellMar>
    </w:tblPr>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Pr>
      <w:tblCellMar>
        <w:top w:w="0" w:type="dxa"/>
        <w:left w:w="108" w:type="dxa"/>
        <w:bottom w:w="0" w:type="dxa"/>
        <w:right w:w="108" w:type="dxa"/>
      </w:tblCellMar>
    </w:tblPr>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Pr>
      <w:tblCellMar>
        <w:top w:w="0" w:type="dxa"/>
        <w:left w:w="108" w:type="dxa"/>
        <w:bottom w:w="0" w:type="dxa"/>
        <w:right w:w="108" w:type="dxa"/>
      </w:tblCellMar>
    </w:tblPr>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Pr>
      <w:tblCellMar>
        <w:top w:w="0" w:type="dxa"/>
        <w:left w:w="108" w:type="dxa"/>
        <w:bottom w:w="0" w:type="dxa"/>
        <w:right w:w="108" w:type="dxa"/>
      </w:tblCellMar>
    </w:tblPr>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Pr>
      <w:tblCellMar>
        <w:top w:w="0" w:type="dxa"/>
        <w:left w:w="108" w:type="dxa"/>
        <w:bottom w:w="0" w:type="dxa"/>
        <w:right w:w="108" w:type="dxa"/>
      </w:tblCellMar>
    </w:tblPr>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bCs/>
        <w:color w:val="FFFFFF" w:themeColor="background1"/>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top w:w="0" w:type="dxa"/>
        <w:left w:w="108" w:type="dxa"/>
        <w:bottom w:w="0" w:type="dxa"/>
        <w:right w:w="108" w:type="dxa"/>
      </w:tblCellMar>
    </w:tblPr>
    <w:tblStylePr w:type="firstRow">
      <w:rPr>
        <w:b/>
        <w:bCs/>
        <w:color w:val="FFFFFF" w:themeColor="background1"/>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CellMar>
        <w:top w:w="0" w:type="dxa"/>
        <w:left w:w="108" w:type="dxa"/>
        <w:bottom w:w="0" w:type="dxa"/>
        <w:right w:w="108" w:type="dxa"/>
      </w:tblCellMar>
    </w:tblPr>
    <w:tblStylePr w:type="firstRow">
      <w:rPr>
        <w:b/>
        <w:bCs/>
        <w:color w:val="FFFFFF" w:themeColor="background1"/>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CellMar>
        <w:top w:w="0" w:type="dxa"/>
        <w:left w:w="108" w:type="dxa"/>
        <w:bottom w:w="0" w:type="dxa"/>
        <w:right w:w="108" w:type="dxa"/>
      </w:tblCellMar>
    </w:tblPr>
    <w:tblStylePr w:type="firstRow">
      <w:rPr>
        <w:b/>
        <w:bCs/>
        <w:color w:val="FFFFFF" w:themeColor="background1"/>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CellMar>
        <w:top w:w="0" w:type="dxa"/>
        <w:left w:w="108" w:type="dxa"/>
        <w:bottom w:w="0" w:type="dxa"/>
        <w:right w:w="108" w:type="dxa"/>
      </w:tblCellMar>
    </w:tblPr>
    <w:tblStylePr w:type="firstRow">
      <w:rPr>
        <w:b/>
        <w:bCs/>
        <w:color w:val="FFFFFF" w:themeColor="background1"/>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CellMar>
        <w:top w:w="0" w:type="dxa"/>
        <w:left w:w="108" w:type="dxa"/>
        <w:bottom w:w="0" w:type="dxa"/>
        <w:right w:w="108" w:type="dxa"/>
      </w:tblCellMar>
    </w:tblPr>
    <w:tblStylePr w:type="firstRow">
      <w:rPr>
        <w:b/>
        <w:bCs/>
        <w:color w:val="FFFFFF" w:themeColor="background1"/>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CellMar>
        <w:top w:w="0" w:type="dxa"/>
        <w:left w:w="108" w:type="dxa"/>
        <w:bottom w:w="0" w:type="dxa"/>
        <w:right w:w="108" w:type="dxa"/>
      </w:tblCellMar>
    </w:tblPr>
    <w:tblStylePr w:type="firstRow">
      <w:rPr>
        <w:b/>
        <w:bCs/>
        <w:color w:val="FFFFFF" w:themeColor="background1"/>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color w:val="FFFFFF" w:themeColor="background1"/>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color w:val="FFFFFF" w:themeColor="background1"/>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color w:val="FFFFFF" w:themeColor="background1"/>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color w:val="FFFFFF" w:themeColor="background1"/>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color w:val="FFFFFF" w:themeColor="background1"/>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color w:val="FFFFFF" w:themeColor="background1"/>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color w:val="FFFFFF" w:themeColor="background1"/>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CellMar>
        <w:top w:w="0" w:type="dxa"/>
        <w:left w:w="108" w:type="dxa"/>
        <w:bottom w:w="0" w:type="dxa"/>
        <w:right w:w="108" w:type="dxa"/>
      </w:tblCellMar>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CellMar>
        <w:top w:w="0" w:type="dxa"/>
        <w:left w:w="108" w:type="dxa"/>
        <w:bottom w:w="0" w:type="dxa"/>
        <w:right w:w="108" w:type="dxa"/>
      </w:tblCellMar>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CellMar>
        <w:top w:w="0" w:type="dxa"/>
        <w:left w:w="108" w:type="dxa"/>
        <w:bottom w:w="0" w:type="dxa"/>
        <w:right w:w="108" w:type="dxa"/>
      </w:tblCellMar>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CellMar>
        <w:top w:w="0" w:type="dxa"/>
        <w:left w:w="108" w:type="dxa"/>
        <w:bottom w:w="0" w:type="dxa"/>
        <w:right w:w="108" w:type="dxa"/>
      </w:tblCellMar>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CellMar>
        <w:top w:w="0" w:type="dxa"/>
        <w:left w:w="108" w:type="dxa"/>
        <w:bottom w:w="0" w:type="dxa"/>
        <w:right w:w="108" w:type="dxa"/>
      </w:tblCellMar>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CellMar>
        <w:top w:w="0" w:type="dxa"/>
        <w:left w:w="108" w:type="dxa"/>
        <w:bottom w:w="0" w:type="dxa"/>
        <w:right w:w="108" w:type="dxa"/>
      </w:tblCellMar>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CellMar>
        <w:top w:w="0" w:type="dxa"/>
        <w:left w:w="108" w:type="dxa"/>
        <w:bottom w:w="0" w:type="dxa"/>
        <w:right w:w="108" w:type="dxa"/>
      </w:tblCellMar>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rPr>
    <w:tblPr>
      <w:tblBorders>
        <w:top w:val="single" w:color="000000" w:themeColor="text1" w:sz="4" w:space="0"/>
        <w:bottom w:val="single" w:color="000000" w:themeColor="text1" w:sz="4" w:space="0"/>
      </w:tblBorders>
      <w:tblCellMar>
        <w:top w:w="0" w:type="dxa"/>
        <w:left w:w="108" w:type="dxa"/>
        <w:bottom w:w="0" w:type="dxa"/>
        <w:right w:w="108" w:type="dxa"/>
      </w:tblCellMar>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5" w:themeColor="accent1" w:themeShade="BF"/>
    </w:rPr>
    <w:tblPr>
      <w:tblBorders>
        <w:top w:val="single" w:color="5B9BD5" w:themeColor="accent1" w:sz="4" w:space="0"/>
        <w:bottom w:val="single" w:color="5B9BD5" w:themeColor="accent1" w:sz="4" w:space="0"/>
      </w:tblBorders>
      <w:tblCellMar>
        <w:top w:w="0" w:type="dxa"/>
        <w:left w:w="108" w:type="dxa"/>
        <w:bottom w:w="0" w:type="dxa"/>
        <w:right w:w="108" w:type="dxa"/>
      </w:tblCellMar>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911" w:themeColor="accent2" w:themeShade="BF"/>
    </w:rPr>
    <w:tblPr>
      <w:tblBorders>
        <w:top w:val="single" w:color="ED7D31" w:themeColor="accent2" w:sz="4" w:space="0"/>
        <w:bottom w:val="single" w:color="ED7D31" w:themeColor="accent2" w:sz="4" w:space="0"/>
      </w:tblBorders>
      <w:tblCellMar>
        <w:top w:w="0" w:type="dxa"/>
        <w:left w:w="108" w:type="dxa"/>
        <w:bottom w:w="0" w:type="dxa"/>
        <w:right w:w="108" w:type="dxa"/>
      </w:tblCellMar>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B7B7B" w:themeColor="accent3" w:themeShade="BF"/>
    </w:rPr>
    <w:tblPr>
      <w:tblBorders>
        <w:top w:val="single" w:color="A5A5A5" w:themeColor="accent3" w:sz="4" w:space="0"/>
        <w:bottom w:val="single" w:color="A5A5A5" w:themeColor="accent3" w:sz="4" w:space="0"/>
      </w:tblBorders>
      <w:tblCellMar>
        <w:top w:w="0" w:type="dxa"/>
        <w:left w:w="108" w:type="dxa"/>
        <w:bottom w:w="0" w:type="dxa"/>
        <w:right w:w="108" w:type="dxa"/>
      </w:tblCellMar>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E8F00" w:themeColor="accent4" w:themeShade="BF"/>
    </w:rPr>
    <w:tblPr>
      <w:tblBorders>
        <w:top w:val="single" w:color="FFC000" w:themeColor="accent4" w:sz="4" w:space="0"/>
        <w:bottom w:val="single" w:color="FFC000" w:themeColor="accent4" w:sz="4" w:space="0"/>
      </w:tblBorders>
      <w:tblCellMar>
        <w:top w:w="0" w:type="dxa"/>
        <w:left w:w="108" w:type="dxa"/>
        <w:bottom w:w="0" w:type="dxa"/>
        <w:right w:w="108" w:type="dxa"/>
      </w:tblCellMar>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496" w:themeColor="accent5" w:themeShade="BF"/>
    </w:rPr>
    <w:tblPr>
      <w:tblBorders>
        <w:top w:val="single" w:color="4472C4" w:themeColor="accent5" w:sz="4" w:space="0"/>
        <w:bottom w:val="single" w:color="4472C4" w:themeColor="accent5" w:sz="4" w:space="0"/>
      </w:tblBorders>
      <w:tblCellMar>
        <w:top w:w="0" w:type="dxa"/>
        <w:left w:w="108" w:type="dxa"/>
        <w:bottom w:w="0" w:type="dxa"/>
        <w:right w:w="108" w:type="dxa"/>
      </w:tblCellMar>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38135" w:themeColor="accent6" w:themeShade="BF"/>
    </w:rPr>
    <w:tblPr>
      <w:tblBorders>
        <w:top w:val="single" w:color="70AD47" w:themeColor="accent6" w:sz="4" w:space="0"/>
        <w:bottom w:val="single" w:color="70AD47" w:themeColor="accent6" w:sz="4" w:space="0"/>
      </w:tblBorders>
      <w:tblCellMar>
        <w:top w:w="0" w:type="dxa"/>
        <w:left w:w="108" w:type="dxa"/>
        <w:bottom w:w="0" w:type="dxa"/>
        <w:right w:w="108" w:type="dxa"/>
      </w:tblCellMar>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5" w:themeColor="accent1"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911" w:themeColor="accent2"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B7B7B" w:themeColor="accent3"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E8F00" w:themeColor="accent4"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496" w:themeColor="accent5"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38135" w:themeColor="accent6"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Char"/>
    <w:basedOn w:val="231"/>
    <w:link w:val="55"/>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CellMar>
        <w:top w:w="0" w:type="dxa"/>
        <w:left w:w="108" w:type="dxa"/>
        <w:bottom w:w="0" w:type="dxa"/>
        <w:right w:w="108" w:type="dxa"/>
      </w:tblCellMar>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CellMar>
        <w:top w:w="0" w:type="dxa"/>
        <w:left w:w="108" w:type="dxa"/>
        <w:bottom w:w="0" w:type="dxa"/>
        <w:right w:w="108" w:type="dxa"/>
      </w:tblCellMar>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CellMar>
        <w:top w:w="0" w:type="dxa"/>
        <w:left w:w="108" w:type="dxa"/>
        <w:bottom w:w="0" w:type="dxa"/>
        <w:right w:w="108" w:type="dxa"/>
      </w:tblCellMar>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CellMar>
        <w:top w:w="0" w:type="dxa"/>
        <w:left w:w="108" w:type="dxa"/>
        <w:bottom w:w="0" w:type="dxa"/>
        <w:right w:w="108" w:type="dxa"/>
      </w:tblCellMar>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CellMar>
        <w:top w:w="0" w:type="dxa"/>
        <w:left w:w="108" w:type="dxa"/>
        <w:bottom w:w="0" w:type="dxa"/>
        <w:right w:w="108" w:type="dxa"/>
      </w:tblCellMar>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CellMar>
        <w:top w:w="0" w:type="dxa"/>
        <w:left w:w="108" w:type="dxa"/>
        <w:bottom w:w="0" w:type="dxa"/>
        <w:right w:w="108" w:type="dxa"/>
      </w:tblCellMar>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CellMar>
        <w:top w:w="0" w:type="dxa"/>
        <w:left w:w="108" w:type="dxa"/>
        <w:bottom w:w="0" w:type="dxa"/>
        <w:right w:w="108" w:type="dxa"/>
      </w:tblCellMar>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color w:val="FFFFFF" w:themeColor="background1"/>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color w:val="FFFFFF" w:themeColor="background1"/>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color w:val="FFFFFF" w:themeColor="background1"/>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color w:val="FFFFFF" w:themeColor="background1"/>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color w:val="FFFFFF" w:themeColor="background1"/>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color w:val="FFFFFF" w:themeColor="background1"/>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color w:val="FFFFFF" w:themeColor="background1"/>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5"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9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B7B7B"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E8F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496"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381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5"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9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B7B7B"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E8F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496"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381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character" w:customStyle="1" w:styleId="471">
    <w:name w:val="尾注文本 Char"/>
    <w:basedOn w:val="231"/>
    <w:link w:val="2"/>
    <w:qFormat/>
    <w:uiPriority w:val="99"/>
    <w:rPr>
      <w:kern w:val="2"/>
      <w:sz w:val="21"/>
      <w:szCs w:val="24"/>
    </w:rPr>
  </w:style>
  <w:style w:type="character" w:customStyle="1" w:styleId="472">
    <w:name w:val="文档结构图 Char"/>
    <w:basedOn w:val="231"/>
    <w:link w:val="33"/>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Pr>
      <w:tblCellMar>
        <w:top w:w="0" w:type="dxa"/>
        <w:left w:w="108" w:type="dxa"/>
        <w:bottom w:w="0" w:type="dxa"/>
        <w:right w:w="108" w:type="dxa"/>
      </w:tblCellMar>
    </w:tbl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Pr>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customStyle="1" w:styleId="478">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Char"/>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customStyle="1" w:styleId="480">
    <w:name w:val="引用1"/>
    <w:basedOn w:val="1"/>
    <w:next w:val="1"/>
    <w:link w:val="481"/>
    <w:qFormat/>
    <w:uiPriority w:val="29"/>
    <w:pPr>
      <w:spacing w:before="200" w:after="160"/>
      <w:ind w:left="864" w:right="864"/>
      <w:jc w:val="center"/>
    </w:pPr>
    <w:rPr>
      <w:i/>
      <w:iCs/>
      <w:color w:val="3F3F3F" w:themeColor="text1" w:themeTint="BF"/>
    </w:rPr>
  </w:style>
  <w:style w:type="character" w:customStyle="1" w:styleId="481">
    <w:name w:val="引用 字符"/>
    <w:basedOn w:val="231"/>
    <w:link w:val="480"/>
    <w:qFormat/>
    <w:uiPriority w:val="29"/>
    <w:rPr>
      <w:i/>
      <w:iCs/>
      <w:color w:val="3F3F3F" w:themeColor="text1" w:themeTint="BF"/>
      <w:kern w:val="2"/>
      <w:sz w:val="21"/>
      <w:szCs w:val="24"/>
    </w:rPr>
  </w:style>
  <w:style w:type="character" w:customStyle="1" w:styleId="482">
    <w:name w:val="占位符文本1"/>
    <w:basedOn w:val="231"/>
    <w:semiHidden/>
    <w:qFormat/>
    <w:uiPriority w:val="99"/>
    <w:rPr>
      <w:color w:val="808080"/>
    </w:rPr>
  </w:style>
  <w:style w:type="character" w:customStyle="1" w:styleId="483">
    <w:name w:val="正文首行缩进 Char"/>
    <w:basedOn w:val="332"/>
    <w:link w:val="86"/>
    <w:semiHidden/>
    <w:qFormat/>
    <w:uiPriority w:val="99"/>
    <w:rPr>
      <w:kern w:val="2"/>
      <w:sz w:val="21"/>
      <w:szCs w:val="24"/>
    </w:rPr>
  </w:style>
  <w:style w:type="character" w:customStyle="1" w:styleId="484">
    <w:name w:val="正文文本缩进 Char"/>
    <w:basedOn w:val="231"/>
    <w:link w:val="42"/>
    <w:semiHidden/>
    <w:qFormat/>
    <w:uiPriority w:val="99"/>
    <w:rPr>
      <w:kern w:val="2"/>
      <w:sz w:val="21"/>
      <w:szCs w:val="24"/>
    </w:rPr>
  </w:style>
  <w:style w:type="character" w:customStyle="1" w:styleId="485">
    <w:name w:val="正文首行缩进 2 Char"/>
    <w:basedOn w:val="484"/>
    <w:link w:val="87"/>
    <w:semiHidden/>
    <w:qFormat/>
    <w:uiPriority w:val="99"/>
    <w:rPr>
      <w:kern w:val="2"/>
      <w:sz w:val="21"/>
      <w:szCs w:val="24"/>
    </w:rPr>
  </w:style>
  <w:style w:type="character" w:customStyle="1" w:styleId="486">
    <w:name w:val="正文文本 2 Char"/>
    <w:basedOn w:val="231"/>
    <w:link w:val="76"/>
    <w:semiHidden/>
    <w:qFormat/>
    <w:uiPriority w:val="99"/>
    <w:rPr>
      <w:kern w:val="2"/>
      <w:sz w:val="21"/>
      <w:szCs w:val="24"/>
    </w:rPr>
  </w:style>
  <w:style w:type="character" w:customStyle="1" w:styleId="487">
    <w:name w:val="正文文本 3 Char"/>
    <w:basedOn w:val="231"/>
    <w:link w:val="38"/>
    <w:semiHidden/>
    <w:qFormat/>
    <w:uiPriority w:val="99"/>
    <w:rPr>
      <w:kern w:val="2"/>
      <w:sz w:val="16"/>
      <w:szCs w:val="16"/>
    </w:rPr>
  </w:style>
  <w:style w:type="character" w:customStyle="1" w:styleId="488">
    <w:name w:val="正文文本缩进 2 Char"/>
    <w:basedOn w:val="231"/>
    <w:link w:val="56"/>
    <w:semiHidden/>
    <w:qFormat/>
    <w:uiPriority w:val="99"/>
    <w:rPr>
      <w:kern w:val="2"/>
      <w:sz w:val="21"/>
      <w:szCs w:val="24"/>
    </w:rPr>
  </w:style>
  <w:style w:type="character" w:customStyle="1" w:styleId="489">
    <w:name w:val="正文文本缩进 3 Char"/>
    <w:basedOn w:val="231"/>
    <w:link w:val="71"/>
    <w:semiHidden/>
    <w:qFormat/>
    <w:uiPriority w:val="99"/>
    <w:rPr>
      <w:kern w:val="2"/>
      <w:sz w:val="16"/>
      <w:szCs w:val="16"/>
    </w:rPr>
  </w:style>
  <w:style w:type="character" w:customStyle="1" w:styleId="490">
    <w:name w:val="注释标题 Char"/>
    <w:basedOn w:val="231"/>
    <w:link w:val="23"/>
    <w:semiHidden/>
    <w:qFormat/>
    <w:uiPriority w:val="99"/>
    <w:rPr>
      <w:kern w:val="2"/>
      <w:sz w:val="21"/>
      <w:szCs w:val="24"/>
    </w:rPr>
  </w:style>
  <w:style w:type="paragraph" w:customStyle="1" w:styleId="491">
    <w:name w:val="附录无标题章"/>
    <w:basedOn w:val="276"/>
    <w:qFormat/>
    <w:uiPriority w:val="0"/>
    <w:pPr>
      <w:spacing w:beforeLines="0" w:afterLines="0"/>
    </w:pPr>
    <w:rPr>
      <w:rFonts w:asciiTheme="majorEastAsia" w:eastAsiaTheme="majorEastAsia"/>
    </w:rPr>
  </w:style>
  <w:style w:type="paragraph" w:customStyle="1" w:styleId="492">
    <w:name w:val="附录一级无标题条"/>
    <w:basedOn w:val="277"/>
    <w:qFormat/>
    <w:uiPriority w:val="0"/>
    <w:pPr>
      <w:spacing w:beforeLines="0" w:afterLines="0"/>
    </w:pPr>
    <w:rPr>
      <w:rFonts w:asciiTheme="majorEastAsia" w:eastAsiaTheme="majorEastAsia"/>
    </w:rPr>
  </w:style>
  <w:style w:type="paragraph" w:customStyle="1" w:styleId="493">
    <w:name w:val="附录二级无标题条"/>
    <w:basedOn w:val="278"/>
    <w:qFormat/>
    <w:uiPriority w:val="0"/>
    <w:pPr>
      <w:spacing w:beforeLines="0" w:afterLines="0"/>
    </w:pPr>
    <w:rPr>
      <w:rFonts w:asciiTheme="majorEastAsia" w:eastAsiaTheme="majorEastAsia"/>
    </w:rPr>
  </w:style>
  <w:style w:type="paragraph" w:customStyle="1" w:styleId="494">
    <w:name w:val="附录三级无标题条"/>
    <w:basedOn w:val="279"/>
    <w:qFormat/>
    <w:uiPriority w:val="0"/>
    <w:pPr>
      <w:spacing w:beforeLines="0" w:afterLines="0"/>
    </w:pPr>
    <w:rPr>
      <w:rFonts w:asciiTheme="majorEastAsia" w:eastAsiaTheme="majorEastAsia"/>
    </w:rPr>
  </w:style>
  <w:style w:type="paragraph" w:customStyle="1" w:styleId="495">
    <w:name w:val="附录四级无标题条"/>
    <w:basedOn w:val="280"/>
    <w:qFormat/>
    <w:uiPriority w:val="0"/>
    <w:pPr>
      <w:spacing w:beforeLines="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1"/>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rPr>
  </w:style>
  <w:style w:type="paragraph" w:customStyle="1" w:styleId="510">
    <w:name w:val="附录公式编号"/>
    <w:basedOn w:val="41"/>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Lines="50" w:afterLines="50"/>
    </w:pPr>
    <w:rPr>
      <w:rFonts w:ascii="黑体" w:eastAsia="黑体"/>
      <w:kern w:val="0"/>
      <w:szCs w:val="20"/>
    </w:rPr>
  </w:style>
  <w:style w:type="paragraph" w:customStyle="1" w:styleId="512">
    <w:name w:val="引言二级无标题条"/>
    <w:basedOn w:val="511"/>
    <w:next w:val="258"/>
    <w:qFormat/>
    <w:uiPriority w:val="0"/>
    <w:pPr>
      <w:spacing w:beforeLines="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Lines="50" w:afterLines="50"/>
    </w:pPr>
    <w:rPr>
      <w:rFonts w:ascii="黑体" w:eastAsia="黑体"/>
      <w:kern w:val="0"/>
      <w:szCs w:val="20"/>
    </w:rPr>
  </w:style>
  <w:style w:type="paragraph" w:customStyle="1" w:styleId="514">
    <w:name w:val="引言三级无标题条"/>
    <w:basedOn w:val="513"/>
    <w:next w:val="258"/>
    <w:qFormat/>
    <w:uiPriority w:val="0"/>
    <w:pPr>
      <w:spacing w:beforeLines="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Lines="50" w:afterLines="50"/>
    </w:pPr>
    <w:rPr>
      <w:rFonts w:ascii="黑体" w:eastAsia="黑体"/>
      <w:kern w:val="0"/>
      <w:szCs w:val="20"/>
    </w:rPr>
  </w:style>
  <w:style w:type="paragraph" w:customStyle="1" w:styleId="516">
    <w:name w:val="引言四级无标题条"/>
    <w:basedOn w:val="515"/>
    <w:next w:val="258"/>
    <w:qFormat/>
    <w:uiPriority w:val="0"/>
    <w:pPr>
      <w:spacing w:beforeLines="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Lines="50" w:afterLines="50"/>
    </w:pPr>
    <w:rPr>
      <w:rFonts w:ascii="黑体" w:eastAsia="黑体"/>
      <w:kern w:val="0"/>
      <w:szCs w:val="20"/>
    </w:rPr>
  </w:style>
  <w:style w:type="paragraph" w:customStyle="1" w:styleId="518">
    <w:name w:val="引言五级无标题条"/>
    <w:basedOn w:val="517"/>
    <w:next w:val="258"/>
    <w:qFormat/>
    <w:uiPriority w:val="0"/>
    <w:pPr>
      <w:spacing w:beforeLines="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Lines="50" w:afterLines="50"/>
    </w:pPr>
    <w:rPr>
      <w:rFonts w:ascii="黑体" w:eastAsia="黑体"/>
      <w:kern w:val="0"/>
      <w:szCs w:val="20"/>
    </w:rPr>
  </w:style>
  <w:style w:type="paragraph" w:customStyle="1" w:styleId="520">
    <w:name w:val="引言一级无标题条"/>
    <w:basedOn w:val="519"/>
    <w:next w:val="258"/>
    <w:qFormat/>
    <w:uiPriority w:val="0"/>
    <w:pPr>
      <w:spacing w:beforeLines="0" w:afterLines="0" w:line="276" w:lineRule="auto"/>
    </w:pPr>
    <w:rPr>
      <w:rFonts w:ascii="宋体" w:eastAsia="宋体"/>
    </w:rPr>
  </w:style>
  <w:style w:type="paragraph" w:customStyle="1" w:styleId="5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523">
    <w:name w:val="tick_no1"/>
    <w:qFormat/>
    <w:uiPriority w:val="0"/>
  </w:style>
  <w:style w:type="character" w:customStyle="1" w:styleId="524">
    <w:name w:val="其他_"/>
    <w:link w:val="525"/>
    <w:qFormat/>
    <w:uiPriority w:val="0"/>
    <w:rPr>
      <w:rFonts w:ascii="宋体" w:hAnsi="宋体" w:cs="宋体"/>
      <w:shd w:val="clear" w:color="auto" w:fill="FFFFFF"/>
      <w:lang w:val="zh-CN" w:bidi="zh-CN"/>
    </w:rPr>
  </w:style>
  <w:style w:type="paragraph" w:customStyle="1" w:styleId="525">
    <w:name w:val="其他"/>
    <w:basedOn w:val="1"/>
    <w:link w:val="524"/>
    <w:qFormat/>
    <w:uiPriority w:val="0"/>
    <w:pPr>
      <w:shd w:val="clear" w:color="auto" w:fill="FFFFFF"/>
      <w:jc w:val="left"/>
    </w:pPr>
    <w:rPr>
      <w:rFonts w:ascii="宋体" w:hAnsi="宋体" w:cs="宋体"/>
      <w:kern w:val="0"/>
      <w:sz w:val="20"/>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968</Words>
  <Characters>5521</Characters>
  <Lines>46</Lines>
  <Paragraphs>12</Paragraphs>
  <TotalTime>1</TotalTime>
  <ScaleCrop>false</ScaleCrop>
  <LinksUpToDate>false</LinksUpToDate>
  <CharactersWithSpaces>6477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2022-06-24T14:45:00Z</dcterms:created>
  <dc:creator>Admin</dc:creator>
  <cp:lastModifiedBy>圆元元气喵</cp:lastModifiedBy>
  <cp:lastPrinted>2411-12-31T23:59:00Z</cp:lastPrinted>
  <dcterms:modified xsi:type="dcterms:W3CDTF">2022-12-30T12:06:19Z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2052-11.8.2.10489</vt:lpwstr>
  </property>
  <property fmtid="{D5CDD505-2E9C-101B-9397-08002B2CF9AE}" pid="6" name="ICV">
    <vt:lpwstr>DBF52C93647B4DF89E0B4B86547F1E02</vt:lpwstr>
  </property>
  <property fmtid="{D5CDD505-2E9C-101B-9397-08002B2CF9AE}" pid="7" name="ICS">
    <vt:lpwstr>ICS</vt:lpwstr>
  </property>
  <property fmtid="{D5CDD505-2E9C-101B-9397-08002B2CF9AE}" pid="8" name="CCS">
    <vt:lpwstr>CCS</vt:lpwstr>
  </property>
  <property fmtid="{D5CDD505-2E9C-101B-9397-08002B2CF9AE}" pid="9" name="BAH">
    <vt:lpwstr>备案号：</vt:lpwstr>
  </property>
  <property fmtid="{D5CDD505-2E9C-101B-9397-08002B2CF9AE}" pid="10" name="BT">
    <vt:lpwstr>广西壮族自治区XXXXXX标准</vt:lpwstr>
  </property>
  <property fmtid="{D5CDD505-2E9C-101B-9397-08002B2CF9AE}" pid="11" name="BZBH">
    <vt:lpwstr>Q/XXX</vt:lpwstr>
  </property>
  <property fmtid="{D5CDD505-2E9C-101B-9397-08002B2CF9AE}" pid="12" name="TDBH">
    <vt:lpwstr/>
  </property>
  <property fmtid="{D5CDD505-2E9C-101B-9397-08002B2CF9AE}" pid="13" name="BZMC">
    <vt:lpwstr>“全链通办”基础任务清单办理流程标准_x000d_
第9部分：二手房交易及水电气联动过户_x000d_
</vt:lpwstr>
  </property>
  <property fmtid="{D5CDD505-2E9C-101B-9397-08002B2CF9AE}" pid="14" name="YWMC">
    <vt:lpwstr>英文名称</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广西壮族自治区大数据发展局</vt:lpwstr>
  </property>
  <property fmtid="{D5CDD505-2E9C-101B-9397-08002B2CF9AE}" pid="22" name="IMAGE">
    <vt:lpwstr/>
  </property>
</Properties>
</file>