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0" w:firstLineChars="0"/>
        <w:jc w:val="distribute"/>
        <w:rPr>
          <w:rFonts w:ascii="Times New Roman" w:hAnsi="Times New Roman" w:eastAsia="方正小标宋简体"/>
          <w:b w:val="0"/>
          <w:bCs/>
          <w:color w:val="FF0000"/>
          <w:spacing w:val="-8"/>
          <w:sz w:val="52"/>
          <w:szCs w:val="52"/>
        </w:rPr>
      </w:pPr>
      <w:r>
        <w:rPr>
          <w:rFonts w:ascii="Times New Roman" w:hAnsi="Times New Roman" w:eastAsia="方正小标宋简体"/>
          <w:b w:val="0"/>
          <w:bCs/>
          <w:color w:val="FF0000"/>
          <w:spacing w:val="-8"/>
          <w:sz w:val="52"/>
          <w:szCs w:val="52"/>
        </w:rPr>
        <w:t>柳州市</w:t>
      </w:r>
      <w:r>
        <w:rPr>
          <w:rFonts w:hint="eastAsia" w:ascii="Times New Roman" w:hAnsi="Times New Roman" w:eastAsia="方正小标宋简体"/>
          <w:b w:val="0"/>
          <w:bCs/>
          <w:color w:val="FF0000"/>
          <w:spacing w:val="-8"/>
          <w:sz w:val="52"/>
          <w:szCs w:val="52"/>
          <w:lang w:eastAsia="zh-CN"/>
        </w:rPr>
        <w:t>行政审批局</w:t>
      </w:r>
      <w:r>
        <w:rPr>
          <w:rFonts w:ascii="Times New Roman" w:hAnsi="Times New Roman" w:eastAsia="方正小标宋简体"/>
          <w:b w:val="0"/>
          <w:bCs/>
          <w:color w:val="FF0000"/>
          <w:spacing w:val="-8"/>
          <w:sz w:val="52"/>
          <w:szCs w:val="52"/>
        </w:rPr>
        <w:t>文件</w:t>
      </w:r>
    </w:p>
    <w:p>
      <w:pPr>
        <w:pStyle w:val="3"/>
        <w:spacing w:line="600" w:lineRule="exact"/>
        <w:ind w:firstLine="643"/>
        <w:rPr>
          <w:rFonts w:ascii="Times New Roman" w:hAnsi="Times New Roman"/>
          <w:b/>
          <w:bCs/>
          <w:color w:val="FF0000"/>
        </w:rPr>
      </w:pPr>
    </w:p>
    <w:p>
      <w:pPr>
        <w:pStyle w:val="3"/>
        <w:spacing w:line="600" w:lineRule="exact"/>
        <w:ind w:firstLine="643"/>
        <w:rPr>
          <w:rFonts w:ascii="Times New Roman" w:hAnsi="Times New Roman"/>
          <w:b/>
          <w:bCs/>
          <w:color w:val="FF0000"/>
        </w:rPr>
      </w:pPr>
    </w:p>
    <w:p>
      <w:pPr>
        <w:pStyle w:val="3"/>
        <w:spacing w:line="600" w:lineRule="exact"/>
        <w:ind w:firstLine="643"/>
        <w:jc w:val="center"/>
        <w:rPr>
          <w:rFonts w:ascii="Times New Roman" w:hAnsi="Times New Roman"/>
          <w:b/>
          <w:bCs/>
        </w:rPr>
      </w:pPr>
    </w:p>
    <w:p>
      <w:pPr>
        <w:pStyle w:val="3"/>
        <w:spacing w:line="560" w:lineRule="exact"/>
        <w:ind w:firstLine="0" w:firstLineChars="0"/>
        <w:jc w:val="center"/>
        <w:rPr>
          <w:rFonts w:hint="eastAsia" w:ascii="仿宋_GB2312" w:hAnsi="仿宋_GB2312" w:eastAsia="仿宋_GB2312" w:cs="仿宋_GB2312"/>
          <w:b/>
          <w:bCs/>
          <w:sz w:val="32"/>
          <w:szCs w:val="32"/>
        </w:rPr>
      </w:pPr>
      <w:r>
        <w:rPr>
          <w:rFonts w:hint="eastAsia" w:ascii="仿宋_GB2312" w:hAnsi="仿宋_GB2312" w:eastAsia="仿宋_GB2312" w:cs="仿宋_GB2312"/>
          <w:spacing w:val="16"/>
          <w:sz w:val="32"/>
          <w:szCs w:val="32"/>
        </w:rPr>
        <w:t>柳</w:t>
      </w:r>
      <w:r>
        <w:rPr>
          <w:rFonts w:hint="eastAsia" w:ascii="仿宋_GB2312" w:hAnsi="仿宋_GB2312" w:eastAsia="仿宋_GB2312" w:cs="仿宋_GB2312"/>
          <w:spacing w:val="16"/>
          <w:sz w:val="32"/>
          <w:szCs w:val="32"/>
          <w:lang w:eastAsia="zh-CN"/>
        </w:rPr>
        <w:t>审批发</w:t>
      </w:r>
      <w:r>
        <w:rPr>
          <w:rFonts w:hint="eastAsia" w:ascii="仿宋_GB2312" w:hAnsi="仿宋_GB2312" w:eastAsia="仿宋_GB2312" w:cs="仿宋_GB2312"/>
          <w:spacing w:val="16"/>
          <w:sz w:val="32"/>
          <w:szCs w:val="32"/>
        </w:rPr>
        <w:t>〔20</w:t>
      </w:r>
      <w:r>
        <w:rPr>
          <w:rFonts w:hint="eastAsia" w:ascii="仿宋_GB2312" w:hAnsi="仿宋_GB2312" w:eastAsia="仿宋_GB2312" w:cs="仿宋_GB2312"/>
          <w:spacing w:val="16"/>
          <w:sz w:val="32"/>
          <w:szCs w:val="32"/>
          <w:lang w:val="en-US" w:eastAsia="zh-CN"/>
        </w:rPr>
        <w:t>22</w:t>
      </w:r>
      <w:r>
        <w:rPr>
          <w:rFonts w:hint="eastAsia" w:ascii="仿宋_GB2312" w:hAnsi="仿宋_GB2312" w:eastAsia="仿宋_GB2312" w:cs="仿宋_GB2312"/>
          <w:spacing w:val="16"/>
          <w:sz w:val="32"/>
          <w:szCs w:val="32"/>
        </w:rPr>
        <w:t>〕</w:t>
      </w:r>
      <w:r>
        <w:rPr>
          <w:rFonts w:hint="eastAsia" w:ascii="仿宋_GB2312" w:hAnsi="仿宋_GB2312" w:eastAsia="仿宋_GB2312" w:cs="仿宋_GB2312"/>
          <w:spacing w:val="16"/>
          <w:sz w:val="32"/>
          <w:szCs w:val="32"/>
          <w:lang w:val="en-US" w:eastAsia="zh-CN"/>
        </w:rPr>
        <w:t>2</w:t>
      </w:r>
      <w:r>
        <w:rPr>
          <w:rFonts w:hint="eastAsia" w:ascii="仿宋_GB2312" w:hAnsi="仿宋_GB2312" w:eastAsia="仿宋_GB2312" w:cs="仿宋_GB2312"/>
          <w:spacing w:val="16"/>
          <w:sz w:val="32"/>
          <w:szCs w:val="32"/>
        </w:rPr>
        <w:t>号</w:t>
      </w:r>
    </w:p>
    <w:p>
      <w:pPr>
        <w:widowControl w:val="0"/>
        <w:wordWrap/>
        <w:adjustRightInd/>
        <w:snapToGrid/>
        <w:spacing w:line="560" w:lineRule="exact"/>
        <w:jc w:val="center"/>
        <w:textAlignment w:val="auto"/>
        <w:rPr>
          <w:rFonts w:hint="eastAsia" w:ascii="方正小标宋简体" w:hAnsi="方正小标宋简体" w:eastAsia="方正小标宋简体" w:cs="方正小标宋简体"/>
          <w:sz w:val="32"/>
          <w:szCs w:val="32"/>
        </w:rPr>
      </w:pPr>
      <w:r>
        <w:rPr>
          <w:rFonts w:ascii="Times New Roman" w:hAnsi="Times New Roman" w:eastAsia="宋体" w:cs="黑体"/>
          <w:kern w:val="2"/>
          <w:sz w:val="32"/>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22860</wp:posOffset>
                </wp:positionV>
                <wp:extent cx="5762625" cy="635"/>
                <wp:effectExtent l="0" t="0" r="0" b="0"/>
                <wp:wrapNone/>
                <wp:docPr id="2" name="直接连接符 3"/>
                <wp:cNvGraphicFramePr/>
                <a:graphic xmlns:a="http://schemas.openxmlformats.org/drawingml/2006/main">
                  <a:graphicData uri="http://schemas.microsoft.com/office/word/2010/wordprocessingShape">
                    <wps:wsp>
                      <wps:cNvCnPr/>
                      <wps:spPr>
                        <a:xfrm>
                          <a:off x="0" y="0"/>
                          <a:ext cx="5762625" cy="635"/>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直接连接符 3" o:spid="_x0000_s1026" o:spt="20" style="position:absolute;left:0pt;margin-left:-0.5pt;margin-top:1.8pt;height:0.05pt;width:453.75pt;z-index:251666432;mso-width-relative:page;mso-height-relative:page;" filled="f" stroked="t" coordsize="21600,21600" o:gfxdata="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VseerVAAAABgEAAA8AAAAAAAAAAQAgAAAAIgAAAGRycy9kb3ducmV2LnhtbFBL&#10;AQIUABQAAAAIAIdO4kB+Jflh+QEAAOcDAAAOAAAAAAAAAAEAIAAAACQBAABkcnMvZTJvRG9jLnht&#10;bFBLBQYAAAAABgAGAFkBAACPBQAAAAA=&#10;">
                <v:fill on="f" focussize="0,0"/>
                <v:stroke weight="2pt" color="#FF0000" joinstyle="round"/>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600" w:lineRule="exact"/>
        <w:jc w:val="center"/>
        <w:textAlignment w:val="auto"/>
        <w:rPr>
          <w:rFonts w:hint="eastAsia" w:ascii="宋体" w:hAnsi="宋体" w:eastAsia="方正小标宋简体"/>
          <w:b/>
          <w:sz w:val="44"/>
          <w:szCs w:val="44"/>
          <w:lang w:eastAsia="zh-CN"/>
        </w:rPr>
      </w:pPr>
      <w:r>
        <w:rPr>
          <w:rFonts w:hint="eastAsia" w:ascii="方正小标宋简体" w:hAnsi="方正小标宋简体" w:eastAsia="方正小标宋简体" w:cs="方正小标宋简体"/>
          <w:bCs/>
          <w:sz w:val="44"/>
          <w:szCs w:val="44"/>
        </w:rPr>
        <w:t>关于</w:t>
      </w:r>
      <w:r>
        <w:rPr>
          <w:rFonts w:hint="eastAsia" w:ascii="方正小标宋简体" w:hAnsi="方正小标宋简体" w:eastAsia="方正小标宋简体" w:cs="方正小标宋简体"/>
          <w:bCs/>
          <w:sz w:val="44"/>
          <w:szCs w:val="44"/>
          <w:lang w:eastAsia="zh-CN"/>
        </w:rPr>
        <w:t>印发</w:t>
      </w:r>
      <w:r>
        <w:rPr>
          <w:rFonts w:hint="eastAsia" w:ascii="方正小标宋简体" w:hAnsi="方正小标宋简体" w:eastAsia="方正小标宋简体" w:cs="方正小标宋简体"/>
          <w:bCs/>
          <w:sz w:val="44"/>
          <w:szCs w:val="44"/>
        </w:rPr>
        <w:t>《柳州市县区、新区推</w:t>
      </w:r>
      <w:bookmarkStart w:id="0" w:name="_GoBack"/>
      <w:bookmarkEnd w:id="0"/>
      <w:r>
        <w:rPr>
          <w:rFonts w:hint="eastAsia" w:ascii="方正小标宋简体" w:hAnsi="方正小标宋简体" w:eastAsia="方正小标宋简体" w:cs="方正小标宋简体"/>
          <w:bCs/>
          <w:sz w:val="44"/>
          <w:szCs w:val="44"/>
        </w:rPr>
        <w:t>行“一业一证”改革实施方案》的</w:t>
      </w:r>
      <w:r>
        <w:rPr>
          <w:rFonts w:hint="eastAsia" w:ascii="方正小标宋简体" w:hAnsi="方正小标宋简体" w:eastAsia="方正小标宋简体" w:cs="方正小标宋简体"/>
          <w:bCs/>
          <w:sz w:val="44"/>
          <w:szCs w:val="44"/>
          <w:lang w:eastAsia="zh-CN"/>
        </w:rPr>
        <w:t>通知</w:t>
      </w:r>
    </w:p>
    <w:p>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ascii="仿宋_GB2312" w:hAnsi="方正小标宋简体" w:eastAsia="仿宋_GB2312"/>
          <w:sz w:val="44"/>
          <w:szCs w:val="44"/>
        </w:rPr>
      </w:pPr>
    </w:p>
    <w:p>
      <w:pPr>
        <w:keepNext w:val="0"/>
        <w:keepLines w:val="0"/>
        <w:pageBreakBefore w:val="0"/>
        <w:shd w:val="clear" w:color="auto" w:fill="FFFFFF"/>
        <w:kinsoku/>
        <w:wordWrap/>
        <w:overflowPunct/>
        <w:topLinePunct w:val="0"/>
        <w:autoSpaceDE/>
        <w:autoSpaceDN/>
        <w:bidi w:val="0"/>
        <w:adjustRightInd/>
        <w:snapToGrid/>
        <w:spacing w:beforeAutospacing="0" w:afterAutospacing="0" w:line="600" w:lineRule="exact"/>
        <w:textAlignment w:val="auto"/>
        <w:rPr>
          <w:rFonts w:ascii="Times New Roman" w:hAnsi="Times New Roman" w:eastAsia="仿宋_GB2312" w:cs="Times New Roman"/>
          <w:sz w:val="32"/>
          <w:szCs w:val="32"/>
        </w:rPr>
      </w:pPr>
      <w:r>
        <w:rPr>
          <w:rFonts w:hint="eastAsia" w:ascii="Times New Roman" w:eastAsia="仿宋_GB2312" w:cs="Times New Roman"/>
          <w:sz w:val="32"/>
          <w:szCs w:val="32"/>
          <w:lang w:eastAsia="zh-CN"/>
        </w:rPr>
        <w:t>各有关单位</w:t>
      </w:r>
      <w:r>
        <w:rPr>
          <w:rFonts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现将</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柳州市县区、新区推行“一业一证”改革实施方案</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印发给你们</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请结合实际认真落实。</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rPr>
          <w:rFonts w:ascii="Times New Roman" w:hAnsi="Times New Roman" w:eastAsia="仿宋_GB2312" w:cs="Times New Roman"/>
          <w:sz w:val="32"/>
          <w:szCs w:val="32"/>
        </w:rPr>
      </w:pPr>
    </w:p>
    <w:p>
      <w:pPr>
        <w:pStyle w:val="6"/>
        <w:keepNext w:val="0"/>
        <w:keepLines w:val="0"/>
        <w:pageBreakBefore w:val="0"/>
        <w:kinsoku/>
        <w:wordWrap/>
        <w:overflowPunct/>
        <w:topLinePunct w:val="0"/>
        <w:autoSpaceDE/>
        <w:autoSpaceDN/>
        <w:bidi w:val="0"/>
        <w:adjustRightInd/>
        <w:snapToGrid/>
        <w:spacing w:beforeAutospacing="0" w:afterAutospacing="0" w:line="600" w:lineRule="exact"/>
        <w:ind w:left="5250" w:firstLine="640" w:firstLineChars="200"/>
        <w:jc w:val="both"/>
        <w:textAlignment w:val="auto"/>
        <w:rPr>
          <w:rStyle w:val="10"/>
          <w:rFonts w:ascii="Times New Roman" w:hAnsi="Times New Roman" w:eastAsia="仿宋_GB2312"/>
          <w:b w:val="0"/>
          <w:bCs w:val="0"/>
          <w:color w:val="FF0000"/>
          <w:sz w:val="32"/>
          <w:szCs w:val="32"/>
          <w:shd w:val="clear" w:color="auto" w:fill="FFFFFF"/>
        </w:rPr>
      </w:pPr>
    </w:p>
    <w:p>
      <w:pPr>
        <w:pStyle w:val="6"/>
        <w:keepNext w:val="0"/>
        <w:keepLines w:val="0"/>
        <w:pageBreakBefore w:val="0"/>
        <w:kinsoku/>
        <w:wordWrap/>
        <w:overflowPunct/>
        <w:topLinePunct w:val="0"/>
        <w:autoSpaceDE/>
        <w:autoSpaceDN/>
        <w:bidi w:val="0"/>
        <w:adjustRightInd/>
        <w:snapToGrid/>
        <w:spacing w:beforeAutospacing="0" w:afterAutospacing="0" w:line="600" w:lineRule="exact"/>
        <w:jc w:val="center"/>
        <w:textAlignment w:val="auto"/>
        <w:rPr>
          <w:rStyle w:val="10"/>
          <w:rFonts w:hint="eastAsia" w:ascii="Times New Roman" w:hAnsi="Times New Roman" w:eastAsia="仿宋_GB2312"/>
          <w:b w:val="0"/>
          <w:bCs w:val="0"/>
          <w:sz w:val="32"/>
          <w:lang w:eastAsia="zh-CN"/>
        </w:rPr>
      </w:pPr>
      <w:r>
        <w:rPr>
          <w:rFonts w:hint="eastAsia" w:eastAsia="仿宋_GB2312"/>
          <w:sz w:val="32"/>
          <w:lang w:val="en-US" w:eastAsia="zh-CN"/>
        </w:rPr>
        <w:t xml:space="preserve">                              </w:t>
      </w:r>
      <w:r>
        <w:rPr>
          <w:rFonts w:ascii="Times New Roman" w:hAnsi="Times New Roman" w:eastAsia="仿宋_GB2312"/>
          <w:sz w:val="32"/>
        </w:rPr>
        <w:t>柳州市</w:t>
      </w:r>
      <w:r>
        <w:rPr>
          <w:rFonts w:hint="eastAsia" w:eastAsia="仿宋_GB2312"/>
          <w:sz w:val="32"/>
          <w:lang w:eastAsia="zh-CN"/>
        </w:rPr>
        <w:t>行政审批局</w:t>
      </w:r>
    </w:p>
    <w:p>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ascii="Times New Roman" w:hAnsi="Times New Roman" w:eastAsia="仿宋_GB2312" w:cs="Times New Roman"/>
          <w:sz w:val="32"/>
          <w:szCs w:val="32"/>
        </w:rPr>
      </w:pPr>
      <w:r>
        <w:rPr>
          <w:rFonts w:ascii="Times New Roman" w:hAnsi="Times New Roman" w:eastAsia="仿宋_GB2312" w:cs="Times New Roman"/>
          <w:color w:val="FFFFFF"/>
          <w:sz w:val="32"/>
          <w:szCs w:val="32"/>
        </w:rPr>
        <w:t xml:space="preserve">.    </w:t>
      </w:r>
      <w:r>
        <w:rPr>
          <w:rFonts w:hint="eastAsia" w:ascii="Times New Roman" w:hAnsi="Times New Roman" w:eastAsia="仿宋_GB2312" w:cs="Times New Roman"/>
          <w:color w:val="FFFFFF"/>
          <w:sz w:val="32"/>
          <w:szCs w:val="32"/>
          <w:lang w:val="en-US" w:eastAsia="zh-CN"/>
        </w:rPr>
        <w:t xml:space="preserve">                              </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22</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9</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26</w:t>
      </w:r>
      <w:r>
        <w:rPr>
          <w:rFonts w:ascii="Times New Roman" w:hAnsi="Times New Roman" w:eastAsia="仿宋_GB2312" w:cs="Times New Roman"/>
          <w:sz w:val="32"/>
          <w:szCs w:val="32"/>
        </w:rPr>
        <w:t>日</w:t>
      </w:r>
    </w:p>
    <w:p>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_GB2312" w:hAnsi="楷体_GB2312" w:eastAsia="楷体_GB2312" w:cs="楷体_GB2312"/>
          <w:b/>
          <w:bCs/>
          <w:sz w:val="32"/>
          <w:szCs w:val="32"/>
          <w:u w:val="single"/>
        </w:rPr>
      </w:pPr>
      <w:r>
        <w:rPr>
          <w:rFonts w:hint="eastAsia" w:ascii="楷体_GB2312" w:hAnsi="楷体_GB2312" w:eastAsia="楷体_GB2312" w:cs="楷体_GB2312"/>
          <w:b/>
          <w:bCs/>
          <w:sz w:val="32"/>
          <w:szCs w:val="32"/>
          <w:u w:val="single"/>
          <w:lang w:val="en-US" w:eastAsia="zh-CN"/>
        </w:rPr>
        <w:t>政府信息公开选项</w:t>
      </w:r>
      <w:r>
        <w:rPr>
          <w:rFonts w:hint="eastAsia" w:ascii="楷体_GB2312" w:hAnsi="楷体_GB2312" w:eastAsia="楷体_GB2312" w:cs="楷体_GB2312"/>
          <w:b/>
          <w:bCs/>
          <w:sz w:val="32"/>
          <w:szCs w:val="32"/>
          <w:u w:val="single"/>
        </w:rPr>
        <w:t>：</w:t>
      </w:r>
      <w:r>
        <w:rPr>
          <w:rFonts w:hint="eastAsia" w:ascii="楷体_GB2312" w:hAnsi="楷体_GB2312" w:eastAsia="楷体_GB2312" w:cs="楷体_GB2312"/>
          <w:b/>
          <w:bCs/>
          <w:sz w:val="32"/>
          <w:szCs w:val="32"/>
          <w:u w:val="single"/>
          <w:lang w:val="en-US" w:eastAsia="zh-CN"/>
        </w:rPr>
        <w:t>主动</w:t>
      </w:r>
      <w:r>
        <w:rPr>
          <w:rFonts w:hint="eastAsia" w:ascii="楷体_GB2312" w:hAnsi="楷体_GB2312" w:eastAsia="楷体_GB2312" w:cs="楷体_GB2312"/>
          <w:b/>
          <w:bCs/>
          <w:sz w:val="32"/>
          <w:szCs w:val="32"/>
          <w:u w:val="single"/>
        </w:rPr>
        <w:t>公开</w:t>
      </w:r>
      <w:r>
        <w:rPr>
          <w:rFonts w:hint="eastAsia" w:ascii="楷体_GB2312" w:hAnsi="楷体_GB2312" w:eastAsia="楷体_GB2312" w:cs="楷体_GB2312"/>
          <w:b/>
          <w:bCs/>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ascii="Times New Roman" w:hAnsi="Times New Roman" w:eastAsia="仿宋_GB2312" w:cs="Times New Roman"/>
          <w:sz w:val="32"/>
          <w:szCs w:val="32"/>
        </w:rPr>
      </w:pPr>
      <w:r>
        <w:rPr>
          <w:rFonts w:hint="eastAsia" w:ascii="仿宋_GB2312" w:hAnsi="仿宋_GB2312" w:eastAsia="仿宋_GB2312" w:cs="仿宋_GB2312"/>
          <w:sz w:val="28"/>
          <w:szCs w:val="28"/>
          <w:u w:val="single"/>
          <w:lang w:val="en-US" w:eastAsia="zh-CN"/>
        </w:rPr>
        <w:t>柳州市行政审批局办公室                      2022年9月26日印发</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方正小标宋简体" w:eastAsia="方正小标宋简体" w:hAnsiTheme="minorHAnsi"/>
          <w:sz w:val="44"/>
          <w:szCs w:val="44"/>
          <w:lang w:val="en-US" w:eastAsia="zh-CN"/>
        </w:rPr>
        <w:sectPr>
          <w:pgSz w:w="11906" w:h="16838"/>
          <w:pgMar w:top="2098" w:right="1474" w:bottom="1417" w:left="1587"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小标宋简体" w:eastAsia="方正小标宋简体" w:hAnsiTheme="minorHAnsi"/>
          <w:sz w:val="44"/>
          <w:szCs w:val="44"/>
          <w:lang w:val="en-US" w:eastAsia="zh-CN"/>
        </w:rPr>
      </w:pPr>
      <w:r>
        <w:rPr>
          <w:rFonts w:hint="eastAsia" w:ascii="方正小标宋简体" w:eastAsia="方正小标宋简体" w:hAnsiTheme="minorHAnsi"/>
          <w:sz w:val="44"/>
          <w:szCs w:val="44"/>
          <w:lang w:val="en-US" w:eastAsia="zh-CN"/>
        </w:rPr>
        <w:t>柳州市县区、新区推行“一业一证”改革</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lang w:eastAsia="zh-CN"/>
        </w:rPr>
      </w:pPr>
      <w:r>
        <w:rPr>
          <w:rFonts w:hint="eastAsia" w:ascii="方正小标宋简体" w:eastAsia="方正小标宋简体" w:hAnsiTheme="minorHAnsi"/>
          <w:sz w:val="44"/>
          <w:szCs w:val="44"/>
          <w:lang w:val="en-US" w:eastAsia="zh-CN"/>
        </w:rPr>
        <w:t>实施方案</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lang w:eastAsia="zh-CN"/>
        </w:rPr>
      </w:pPr>
      <w:r>
        <w:rPr>
          <w:rFonts w:hint="eastAsia" w:ascii="仿宋_GB2312" w:hAnsi="仿宋_GB2312" w:eastAsia="仿宋_GB2312" w:cs="仿宋_GB2312"/>
          <w:sz w:val="32"/>
          <w:szCs w:val="32"/>
          <w:lang w:val="en-US" w:eastAsia="zh-CN"/>
        </w:rPr>
        <w:t>为贯彻落实《国务院办公厅关于进一步优化营商环境降低市场主体制度性交易成本的意见》（国办发</w:t>
      </w:r>
      <w:r>
        <w:rPr>
          <w:rFonts w:hint="eastAsia" w:ascii="Times New Roman" w:hAnsi="Times New Roman" w:eastAsia="仿宋_GB2312" w:cs="Times New Roman"/>
          <w:sz w:val="32"/>
          <w:szCs w:val="32"/>
          <w:lang w:val="en-US" w:eastAsia="zh-CN"/>
        </w:rPr>
        <w:t>〔2022〕30号</w:t>
      </w:r>
      <w:r>
        <w:rPr>
          <w:rFonts w:hint="eastAsia" w:ascii="仿宋_GB2312" w:hAnsi="仿宋_GB2312" w:eastAsia="仿宋_GB2312" w:cs="仿宋_GB2312"/>
          <w:sz w:val="32"/>
          <w:szCs w:val="32"/>
          <w:lang w:val="en-US" w:eastAsia="zh-CN"/>
        </w:rPr>
        <w:t>）、《自治区行政审批制度改革工作领导小组办公室关于印发广西壮族自治区“一业一证”改革试点实施方案的通知》（桂审改办发</w:t>
      </w:r>
      <w:r>
        <w:rPr>
          <w:rFonts w:hint="default" w:ascii="Times New Roman" w:hAnsi="Times New Roman" w:eastAsia="仿宋_GB2312" w:cs="Times New Roman"/>
          <w:sz w:val="32"/>
          <w:szCs w:val="32"/>
          <w:lang w:val="en-US" w:eastAsia="zh-CN"/>
        </w:rPr>
        <w:t xml:space="preserve">〔2020〕3 </w:t>
      </w:r>
      <w:r>
        <w:rPr>
          <w:rFonts w:hint="eastAsia" w:ascii="仿宋_GB2312" w:hAnsi="仿宋_GB2312" w:eastAsia="仿宋_GB2312" w:cs="仿宋_GB2312"/>
          <w:sz w:val="32"/>
          <w:szCs w:val="32"/>
          <w:lang w:val="en-US" w:eastAsia="zh-CN"/>
        </w:rPr>
        <w:t>号）、《自治区大数据发展局关于同意将柳州市列为一业一证改革试点城市的批</w:t>
      </w:r>
      <w:r>
        <w:rPr>
          <w:rFonts w:hint="eastAsia" w:ascii="Times New Roman" w:hAnsi="Times New Roman" w:eastAsia="仿宋_GB2312" w:cs="Times New Roman"/>
          <w:sz w:val="32"/>
          <w:szCs w:val="32"/>
          <w:lang w:val="en-US" w:eastAsia="zh-CN"/>
        </w:rPr>
        <w:t>复》、《2022年全区政务服务工作要点》（桂政管办发〔2022〕1号）等相关要求，进一步提升改革实效，</w:t>
      </w:r>
      <w:r>
        <w:rPr>
          <w:rFonts w:hint="default" w:ascii="Times New Roman" w:hAnsi="Times New Roman" w:eastAsia="仿宋_GB2312" w:cs="Times New Roman"/>
          <w:sz w:val="32"/>
          <w:szCs w:val="32"/>
          <w:lang w:val="en-US" w:eastAsia="zh-CN"/>
        </w:rPr>
        <w:t>按照市委、市政府部署要求</w:t>
      </w:r>
      <w:r>
        <w:rPr>
          <w:rFonts w:hint="eastAsia" w:ascii="Times New Roman" w:hAnsi="Times New Roman" w:eastAsia="仿宋_GB2312" w:cs="Times New Roman"/>
          <w:sz w:val="32"/>
          <w:szCs w:val="32"/>
          <w:lang w:val="en-US" w:eastAsia="zh-CN"/>
        </w:rPr>
        <w:t>，</w:t>
      </w:r>
      <w:r>
        <w:rPr>
          <w:rFonts w:hint="eastAsia" w:ascii="仿宋_GB2312" w:eastAsia="仿宋_GB2312"/>
          <w:sz w:val="32"/>
          <w:szCs w:val="32"/>
          <w:lang w:eastAsia="zh-CN"/>
        </w:rPr>
        <w:t>制定本方案。</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eastAsia" w:ascii="黑体" w:hAnsi="黑体" w:eastAsia="黑体" w:cs="黑体"/>
          <w:sz w:val="32"/>
          <w:szCs w:val="32"/>
          <w:lang w:eastAsia="zh-Hans"/>
        </w:rPr>
      </w:pPr>
      <w:r>
        <w:rPr>
          <w:rFonts w:hint="eastAsia" w:ascii="黑体" w:hAnsi="黑体" w:eastAsia="黑体" w:cs="黑体"/>
          <w:sz w:val="32"/>
          <w:szCs w:val="32"/>
          <w:lang w:val="en-US" w:eastAsia="zh-Hans"/>
        </w:rPr>
        <w:t>一、指导思想</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600" w:lineRule="exact"/>
        <w:jc w:val="both"/>
        <w:textAlignment w:val="auto"/>
        <w:outlineLvl w:val="9"/>
        <w:rPr>
          <w:rFonts w:hint="eastAsia" w:ascii="仿宋_GB2312" w:eastAsia="仿宋_GB2312"/>
          <w:sz w:val="32"/>
          <w:szCs w:val="32"/>
          <w:lang w:eastAsia="zh-Hans"/>
        </w:rPr>
      </w:pPr>
      <w:r>
        <w:rPr>
          <w:rFonts w:hint="default" w:ascii="仿宋_GB2312" w:eastAsia="仿宋_GB2312"/>
          <w:sz w:val="32"/>
          <w:szCs w:val="32"/>
          <w:lang w:eastAsia="zh-Hans"/>
        </w:rPr>
        <w:t xml:space="preserve">    </w:t>
      </w:r>
      <w:r>
        <w:rPr>
          <w:rFonts w:hint="eastAsia" w:ascii="仿宋_GB2312" w:hAnsi="仿宋_GB2312" w:eastAsia="仿宋_GB2312" w:cs="仿宋_GB2312"/>
          <w:color w:val="auto"/>
          <w:sz w:val="32"/>
          <w:szCs w:val="32"/>
          <w:lang w:val="en-US" w:eastAsia="zh-CN"/>
        </w:rPr>
        <w:t>以习近平新时代中国特色社会主义思想为指导，深入贯彻党的十九大和十九届历次全会精神，深入贯彻习近平总书</w:t>
      </w:r>
      <w:r>
        <w:rPr>
          <w:rFonts w:hint="eastAsia" w:ascii="Times New Roman" w:hAnsi="Times New Roman" w:eastAsia="仿宋_GB2312" w:cs="Times New Roman"/>
          <w:sz w:val="32"/>
          <w:szCs w:val="32"/>
          <w:lang w:val="en-US" w:eastAsia="zh-CN"/>
        </w:rPr>
        <w:t>记视察广西“4·27”重要讲话精神和对广西、柳州工作系列重要指示要求，按照自治区第</w:t>
      </w:r>
      <w:r>
        <w:rPr>
          <w:rFonts w:hint="eastAsia" w:ascii="仿宋_GB2312" w:hAnsi="仿宋_GB2312" w:eastAsia="仿宋_GB2312" w:cs="仿宋_GB2312"/>
          <w:color w:val="auto"/>
          <w:sz w:val="32"/>
          <w:szCs w:val="32"/>
          <w:lang w:val="en-US" w:eastAsia="zh-CN"/>
        </w:rPr>
        <w:t>十二次党代会及柳州市第十五届人民代表大会第二次会议工作部署，坚持以人民为中心的发展思想</w:t>
      </w:r>
      <w:r>
        <w:rPr>
          <w:rFonts w:hint="eastAsia" w:ascii="仿宋_GB2312" w:eastAsia="仿宋_GB2312"/>
          <w:sz w:val="32"/>
          <w:szCs w:val="32"/>
          <w:lang w:val="en-US" w:eastAsia="zh-Hans"/>
        </w:rPr>
        <w:t>，将市场主体进入特定行业涉及的多张许可证整合为一张行业综合许可证</w:t>
      </w:r>
      <w:r>
        <w:rPr>
          <w:rFonts w:hint="eastAsia" w:ascii="仿宋_GB2312" w:eastAsia="仿宋_GB2312"/>
          <w:sz w:val="32"/>
          <w:szCs w:val="32"/>
          <w:lang w:val="en-US" w:eastAsia="zh-CN"/>
        </w:rPr>
        <w:t>，</w:t>
      </w:r>
      <w:r>
        <w:rPr>
          <w:rFonts w:hint="eastAsia" w:ascii="仿宋_GB2312" w:eastAsia="仿宋_GB2312"/>
          <w:sz w:val="32"/>
          <w:szCs w:val="32"/>
          <w:lang w:val="en-US" w:eastAsia="zh-Hans"/>
        </w:rPr>
        <w:t>推动审批管理服务从“以政府为供给中心”向“市场主体需求为中心”转变，提高企业获得感和满意度，推动营商环境不断优化。</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val="en-US" w:eastAsia="zh-Hans"/>
        </w:rPr>
        <w:t>二</w:t>
      </w:r>
      <w:r>
        <w:rPr>
          <w:rFonts w:hint="eastAsia" w:ascii="黑体" w:hAnsi="黑体" w:eastAsia="黑体" w:cs="黑体"/>
          <w:sz w:val="32"/>
          <w:szCs w:val="32"/>
          <w:lang w:eastAsia="zh-CN"/>
        </w:rPr>
        <w:t>、改革目标</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color w:val="auto"/>
          <w:sz w:val="32"/>
          <w:szCs w:val="32"/>
          <w:lang w:eastAsia="zh-CN"/>
        </w:rPr>
      </w:pPr>
      <w:r>
        <w:rPr>
          <w:rFonts w:hint="eastAsia" w:ascii="仿宋_GB2312" w:eastAsia="仿宋_GB2312"/>
          <w:sz w:val="32"/>
          <w:szCs w:val="32"/>
          <w:lang w:val="en-US" w:eastAsia="zh-Hans"/>
        </w:rPr>
        <w:t>在不改变现有行政许可和监管法律关系的基础上，以</w:t>
      </w:r>
      <w:r>
        <w:rPr>
          <w:rFonts w:hint="eastAsia" w:ascii="仿宋_GB2312" w:eastAsia="仿宋_GB2312"/>
          <w:sz w:val="32"/>
          <w:szCs w:val="32"/>
          <w:lang w:val="en-US" w:eastAsia="zh-CN"/>
        </w:rPr>
        <w:t>市场准入集成办理协同高效</w:t>
      </w:r>
      <w:r>
        <w:rPr>
          <w:rFonts w:hint="eastAsia" w:ascii="仿宋_GB2312" w:eastAsia="仿宋_GB2312"/>
          <w:sz w:val="32"/>
          <w:szCs w:val="32"/>
          <w:lang w:val="en-US" w:eastAsia="zh-Hans"/>
        </w:rPr>
        <w:t>为</w:t>
      </w:r>
      <w:r>
        <w:rPr>
          <w:rFonts w:hint="eastAsia" w:ascii="仿宋_GB2312" w:eastAsia="仿宋_GB2312"/>
          <w:sz w:val="32"/>
          <w:szCs w:val="32"/>
          <w:lang w:val="en-US" w:eastAsia="zh-CN"/>
        </w:rPr>
        <w:t>核心</w:t>
      </w:r>
      <w:r>
        <w:rPr>
          <w:rFonts w:hint="eastAsia" w:ascii="仿宋_GB2312" w:eastAsia="仿宋_GB2312"/>
          <w:sz w:val="32"/>
          <w:szCs w:val="32"/>
          <w:lang w:val="en-US" w:eastAsia="zh-Hans"/>
        </w:rPr>
        <w:t>，</w:t>
      </w:r>
      <w:r>
        <w:rPr>
          <w:rFonts w:hint="eastAsia" w:ascii="仿宋_GB2312" w:eastAsia="仿宋_GB2312"/>
          <w:color w:val="auto"/>
          <w:sz w:val="32"/>
          <w:szCs w:val="32"/>
          <w:lang w:val="en-US" w:eastAsia="zh-CN"/>
        </w:rPr>
        <w:t>分批次</w:t>
      </w:r>
      <w:r>
        <w:rPr>
          <w:rFonts w:hint="eastAsia" w:ascii="仿宋_GB2312" w:eastAsia="仿宋_GB2312"/>
          <w:color w:val="auto"/>
          <w:sz w:val="32"/>
          <w:szCs w:val="32"/>
          <w:lang w:val="en-US" w:eastAsia="zh-Hans"/>
        </w:rPr>
        <w:t>推动更多</w:t>
      </w:r>
      <w:r>
        <w:rPr>
          <w:rFonts w:hint="eastAsia" w:ascii="仿宋_GB2312" w:eastAsia="仿宋_GB2312"/>
          <w:color w:val="auto"/>
          <w:sz w:val="32"/>
          <w:szCs w:val="32"/>
        </w:rPr>
        <w:t>市场主体增长较快、与人民群众生活关系密切、有利于促进高质量发展的行业</w:t>
      </w:r>
      <w:r>
        <w:rPr>
          <w:rFonts w:hint="eastAsia" w:ascii="仿宋_GB2312" w:eastAsia="仿宋_GB2312"/>
          <w:color w:val="auto"/>
          <w:sz w:val="32"/>
          <w:szCs w:val="32"/>
          <w:lang w:val="en-US" w:eastAsia="zh-Hans"/>
        </w:rPr>
        <w:t>在全市</w:t>
      </w:r>
      <w:r>
        <w:rPr>
          <w:rFonts w:hint="eastAsia" w:ascii="仿宋_GB2312" w:eastAsia="仿宋_GB2312"/>
          <w:color w:val="auto"/>
          <w:sz w:val="32"/>
          <w:szCs w:val="32"/>
          <w:lang w:val="en-US" w:eastAsia="zh-CN"/>
        </w:rPr>
        <w:t>各县区、新区</w:t>
      </w:r>
      <w:r>
        <w:rPr>
          <w:rFonts w:hint="eastAsia" w:ascii="仿宋_GB2312" w:eastAsia="仿宋_GB2312"/>
          <w:color w:val="auto"/>
          <w:sz w:val="32"/>
          <w:szCs w:val="32"/>
          <w:lang w:val="en-US" w:eastAsia="zh-Hans"/>
        </w:rPr>
        <w:t>实施“一业一证”改革</w:t>
      </w:r>
      <w:r>
        <w:rPr>
          <w:rFonts w:hint="eastAsia" w:ascii="仿宋_GB2312" w:eastAsia="仿宋_GB2312"/>
          <w:color w:val="auto"/>
          <w:sz w:val="32"/>
          <w:szCs w:val="32"/>
          <w:lang w:val="en-US" w:eastAsia="zh-CN"/>
        </w:rPr>
        <w:t>，</w:t>
      </w:r>
      <w:r>
        <w:rPr>
          <w:rFonts w:hint="eastAsia" w:ascii="仿宋_GB2312" w:eastAsia="仿宋_GB2312"/>
          <w:sz w:val="32"/>
          <w:szCs w:val="32"/>
          <w:lang w:val="en-US" w:eastAsia="zh-Hans"/>
        </w:rPr>
        <w:t>探索建立行业综合许可制度和行业综合监管制度，</w:t>
      </w:r>
      <w:r>
        <w:rPr>
          <w:rFonts w:hint="eastAsia" w:ascii="仿宋_GB2312" w:eastAsia="仿宋_GB2312"/>
          <w:color w:val="auto"/>
          <w:sz w:val="32"/>
          <w:szCs w:val="32"/>
          <w:lang w:val="en-US" w:eastAsia="zh-Hans"/>
        </w:rPr>
        <w:t>打造“一证准营，全</w:t>
      </w:r>
      <w:r>
        <w:rPr>
          <w:rFonts w:hint="eastAsia" w:ascii="仿宋_GB2312" w:eastAsia="仿宋_GB2312"/>
          <w:color w:val="auto"/>
          <w:sz w:val="32"/>
          <w:szCs w:val="32"/>
          <w:lang w:val="en-US" w:eastAsia="zh-CN"/>
        </w:rPr>
        <w:t>市</w:t>
      </w:r>
      <w:r>
        <w:rPr>
          <w:rFonts w:hint="eastAsia" w:ascii="仿宋_GB2312" w:eastAsia="仿宋_GB2312"/>
          <w:color w:val="auto"/>
          <w:sz w:val="32"/>
          <w:szCs w:val="32"/>
          <w:lang w:val="en-US" w:eastAsia="zh-Hans"/>
        </w:rPr>
        <w:t>通用”新模式，提高集成化服务效能</w:t>
      </w:r>
      <w:r>
        <w:rPr>
          <w:rFonts w:hint="eastAsia" w:ascii="仿宋_GB2312" w:eastAsia="仿宋_GB2312"/>
          <w:color w:val="auto"/>
          <w:sz w:val="32"/>
          <w:szCs w:val="32"/>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val="en-US" w:eastAsia="zh-Hans"/>
        </w:rPr>
        <w:t>三</w:t>
      </w:r>
      <w:r>
        <w:rPr>
          <w:rFonts w:hint="eastAsia" w:ascii="黑体" w:hAnsi="黑体" w:eastAsia="黑体" w:cs="黑体"/>
          <w:sz w:val="32"/>
          <w:szCs w:val="32"/>
          <w:lang w:eastAsia="zh-CN"/>
        </w:rPr>
        <w:t>、</w:t>
      </w:r>
      <w:r>
        <w:rPr>
          <w:rFonts w:hint="eastAsia" w:ascii="黑体" w:hAnsi="黑体" w:eastAsia="黑体" w:cs="黑体"/>
          <w:sz w:val="32"/>
          <w:szCs w:val="32"/>
          <w:lang w:val="en-US" w:eastAsia="zh-Hans"/>
        </w:rPr>
        <w:t>重点任务</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default" w:ascii="仿宋_GB2312" w:eastAsia="仿宋_GB2312"/>
          <w:sz w:val="32"/>
          <w:szCs w:val="32"/>
          <w:lang w:val="en-US" w:eastAsia="zh-CN"/>
        </w:rPr>
      </w:pPr>
      <w:r>
        <w:rPr>
          <w:rFonts w:hint="eastAsia" w:ascii="楷体" w:hAnsi="楷体" w:eastAsia="楷体" w:cs="楷体"/>
          <w:sz w:val="32"/>
          <w:szCs w:val="32"/>
          <w:lang w:val="en-US" w:eastAsia="zh-CN"/>
        </w:rPr>
        <w:t>（一）动态调整清单，实现“一单覆盖”。</w:t>
      </w:r>
      <w:r>
        <w:rPr>
          <w:rFonts w:hint="eastAsia" w:ascii="仿宋_GB2312" w:eastAsia="仿宋_GB2312"/>
          <w:sz w:val="32"/>
          <w:szCs w:val="32"/>
          <w:lang w:val="en-US" w:eastAsia="zh-CN"/>
        </w:rPr>
        <w:t>对行业目录清单实行分批纳入、动态管理，各县区（新区）根据本辖区行业发展需要，分批梳理本辖区行业目录清单，确定行业名称以及涉及事项、业务流程、操作规范、办事指南以及勘查标准等。行业</w:t>
      </w:r>
      <w:r>
        <w:rPr>
          <w:rFonts w:hint="eastAsia" w:ascii="Times New Roman" w:hAnsi="Times New Roman" w:eastAsia="仿宋_GB2312" w:cs="Times New Roman"/>
          <w:sz w:val="32"/>
          <w:szCs w:val="32"/>
          <w:lang w:val="en-US" w:eastAsia="zh-CN"/>
        </w:rPr>
        <w:t>涉及许可事项为1项的</w:t>
      </w:r>
      <w:r>
        <w:rPr>
          <w:rFonts w:hint="eastAsia" w:ascii="仿宋_GB2312" w:eastAsia="仿宋_GB2312"/>
          <w:sz w:val="32"/>
          <w:szCs w:val="32"/>
          <w:lang w:val="en-US" w:eastAsia="zh-CN"/>
        </w:rPr>
        <w:t>行业，不纳入“一业一证”改革工作。</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lang w:eastAsia="zh-CN"/>
        </w:rPr>
      </w:pPr>
      <w:r>
        <w:rPr>
          <w:rFonts w:hint="eastAsia" w:ascii="楷体" w:hAnsi="楷体" w:eastAsia="楷体" w:cs="楷体"/>
          <w:sz w:val="32"/>
          <w:szCs w:val="32"/>
          <w:lang w:val="en-US" w:eastAsia="zh-CN"/>
        </w:rPr>
        <w:t>（二）再造审批流程，实现“一口受理”。</w:t>
      </w:r>
      <w:r>
        <w:rPr>
          <w:rFonts w:hint="eastAsia" w:ascii="仿宋_GB2312" w:eastAsia="仿宋_GB2312"/>
          <w:sz w:val="32"/>
          <w:szCs w:val="32"/>
          <w:lang w:val="en-US" w:eastAsia="zh-CN"/>
        </w:rPr>
        <w:t>设置“一业一证”专窗，专窗负责受理、录入、咨询、导办、出证等工作，依托广西数字政务一体化平台、</w:t>
      </w:r>
      <w:r>
        <w:rPr>
          <w:rFonts w:hint="eastAsia" w:ascii="仿宋_GB2312" w:hAnsi="仿宋_GB2312" w:eastAsia="仿宋_GB2312" w:cs="仿宋_GB2312"/>
          <w:color w:val="auto"/>
          <w:sz w:val="32"/>
          <w:szCs w:val="32"/>
          <w:lang w:val="en" w:eastAsia="zh-CN"/>
        </w:rPr>
        <w:t>自治区数据共享交换平台、</w:t>
      </w:r>
      <w:r>
        <w:rPr>
          <w:rFonts w:hint="eastAsia" w:ascii="仿宋_GB2312" w:eastAsia="仿宋_GB2312"/>
          <w:sz w:val="32"/>
          <w:szCs w:val="32"/>
          <w:lang w:val="en-US" w:eastAsia="zh-CN"/>
        </w:rPr>
        <w:t>柳州市“全城通办”系统等线上平台，各有关部门同步获取受理信息和有关前置部门的办理信息，并按照规定时限将审批结果汇集至综合窗口统一发证。按照线上线下集成融合、标准一致、渠道互补的要求,实现“</w:t>
      </w:r>
      <w:r>
        <w:rPr>
          <w:rFonts w:hint="eastAsia" w:ascii="仿宋_GB2312" w:eastAsia="仿宋_GB2312"/>
          <w:sz w:val="32"/>
          <w:szCs w:val="32"/>
        </w:rPr>
        <w:t>一窗受理，集成服务</w:t>
      </w:r>
      <w:r>
        <w:rPr>
          <w:rFonts w:hint="eastAsia" w:ascii="仿宋_GB2312" w:eastAsia="仿宋_GB2312"/>
          <w:sz w:val="32"/>
          <w:szCs w:val="32"/>
          <w:lang w:val="en-US" w:eastAsia="zh-CN"/>
        </w:rPr>
        <w:t>”。</w:t>
      </w:r>
      <w:r>
        <w:rPr>
          <w:rFonts w:hint="eastAsia" w:ascii="仿宋_GB2312" w:eastAsia="仿宋_GB2312"/>
          <w:sz w:val="32"/>
          <w:szCs w:val="32"/>
          <w:lang w:eastAsia="zh-CN"/>
        </w:rPr>
        <w:t>对政府部门间能通过信息共享获取的电子证照信息，不得让申请人重新提交。</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rPr>
      </w:pPr>
      <w:r>
        <w:rPr>
          <w:rFonts w:hint="eastAsia" w:ascii="楷体" w:hAnsi="楷体" w:eastAsia="楷体" w:cs="楷体"/>
          <w:sz w:val="32"/>
          <w:szCs w:val="32"/>
          <w:lang w:eastAsia="zh-Hans"/>
        </w:rPr>
        <w:t>（</w:t>
      </w:r>
      <w:r>
        <w:rPr>
          <w:rFonts w:hint="eastAsia" w:ascii="楷体" w:hAnsi="楷体" w:eastAsia="楷体" w:cs="楷体"/>
          <w:sz w:val="32"/>
          <w:szCs w:val="32"/>
          <w:lang w:val="en-US" w:eastAsia="zh-CN"/>
        </w:rPr>
        <w:t>三</w:t>
      </w:r>
      <w:r>
        <w:rPr>
          <w:rFonts w:hint="eastAsia" w:ascii="楷体" w:hAnsi="楷体" w:eastAsia="楷体" w:cs="楷体"/>
          <w:sz w:val="32"/>
          <w:szCs w:val="32"/>
          <w:lang w:val="en-US" w:eastAsia="zh-Hans"/>
        </w:rPr>
        <w:t>）</w:t>
      </w:r>
      <w:r>
        <w:rPr>
          <w:rFonts w:hint="eastAsia" w:ascii="楷体" w:hAnsi="楷体" w:eastAsia="楷体" w:cs="楷体"/>
          <w:sz w:val="32"/>
          <w:szCs w:val="32"/>
          <w:lang w:val="en-US" w:eastAsia="zh-CN"/>
        </w:rPr>
        <w:t>聚焦全生命周期</w:t>
      </w:r>
      <w:r>
        <w:rPr>
          <w:rFonts w:hint="eastAsia" w:ascii="楷体" w:hAnsi="楷体" w:eastAsia="楷体" w:cs="楷体"/>
          <w:sz w:val="32"/>
          <w:szCs w:val="32"/>
          <w:lang w:val="en-US" w:eastAsia="zh-Hans"/>
        </w:rPr>
        <w:t>，</w:t>
      </w:r>
      <w:r>
        <w:rPr>
          <w:rFonts w:hint="eastAsia" w:ascii="楷体" w:hAnsi="楷体" w:eastAsia="楷体" w:cs="楷体"/>
          <w:sz w:val="32"/>
          <w:szCs w:val="32"/>
        </w:rPr>
        <w:t>实现“</w:t>
      </w:r>
      <w:r>
        <w:rPr>
          <w:rFonts w:hint="eastAsia" w:ascii="楷体" w:hAnsi="楷体" w:eastAsia="楷体" w:cs="楷体"/>
          <w:sz w:val="32"/>
          <w:szCs w:val="32"/>
          <w:lang w:eastAsia="zh-CN"/>
        </w:rPr>
        <w:t>一链跟踪</w:t>
      </w:r>
      <w:r>
        <w:rPr>
          <w:rFonts w:hint="eastAsia" w:ascii="楷体" w:hAnsi="楷体" w:eastAsia="楷体" w:cs="楷体"/>
          <w:sz w:val="32"/>
          <w:szCs w:val="32"/>
        </w:rPr>
        <w:t>”。</w:t>
      </w:r>
      <w:r>
        <w:rPr>
          <w:rFonts w:hint="eastAsia" w:ascii="仿宋_GB2312" w:eastAsia="仿宋_GB2312"/>
          <w:sz w:val="32"/>
          <w:szCs w:val="32"/>
          <w:lang w:eastAsia="zh-CN"/>
        </w:rPr>
        <w:t>持续优化完善流程，延伸改革业务链条，探索实现将“一业一证”改革从新办扩展到</w:t>
      </w:r>
      <w:r>
        <w:rPr>
          <w:rFonts w:hint="eastAsia" w:ascii="仿宋_GB2312" w:hAnsi="sans-serif" w:eastAsia="仿宋_GB2312" w:cs="仿宋_GB2312"/>
          <w:i w:val="0"/>
          <w:caps w:val="0"/>
          <w:color w:val="auto"/>
          <w:spacing w:val="0"/>
          <w:sz w:val="32"/>
          <w:szCs w:val="32"/>
          <w:shd w:val="clear" w:fill="FFFFFF"/>
        </w:rPr>
        <w:t>变更、延续、失效、撤回、撤销、注销</w:t>
      </w:r>
      <w:r>
        <w:rPr>
          <w:rFonts w:hint="eastAsia" w:ascii="仿宋_GB2312" w:eastAsia="仿宋_GB2312"/>
          <w:sz w:val="32"/>
          <w:szCs w:val="32"/>
          <w:lang w:eastAsia="zh-CN"/>
        </w:rPr>
        <w:t>全流程，当所载明的内容发展</w:t>
      </w:r>
      <w:r>
        <w:rPr>
          <w:rFonts w:hint="eastAsia" w:ascii="仿宋_GB2312" w:hAnsi="sans-serif" w:eastAsia="仿宋_GB2312" w:cs="仿宋_GB2312"/>
          <w:i w:val="0"/>
          <w:caps w:val="0"/>
          <w:color w:val="auto"/>
          <w:spacing w:val="0"/>
          <w:sz w:val="32"/>
          <w:szCs w:val="32"/>
          <w:shd w:val="clear" w:fill="FFFFFF"/>
        </w:rPr>
        <w:t>变更、延续、失效、撤回、撤销、注销</w:t>
      </w:r>
      <w:r>
        <w:rPr>
          <w:rFonts w:hint="eastAsia" w:ascii="仿宋_GB2312" w:eastAsia="仿宋_GB2312"/>
          <w:sz w:val="32"/>
          <w:szCs w:val="32"/>
          <w:lang w:eastAsia="zh-CN"/>
        </w:rPr>
        <w:t>等情形时，各审批部门应及时将信息进行共享</w:t>
      </w:r>
      <w:r>
        <w:rPr>
          <w:rFonts w:hint="eastAsia" w:ascii="仿宋_GB2312" w:eastAsia="仿宋_GB2312"/>
          <w:sz w:val="32"/>
          <w:szCs w:val="32"/>
        </w:rPr>
        <w:t>。</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lang w:eastAsia="zh-Hans"/>
        </w:rPr>
      </w:pPr>
      <w:r>
        <w:rPr>
          <w:rFonts w:hint="eastAsia" w:ascii="楷体" w:hAnsi="楷体" w:eastAsia="楷体" w:cs="楷体"/>
          <w:sz w:val="32"/>
          <w:szCs w:val="32"/>
          <w:lang w:eastAsia="zh-Hans"/>
        </w:rPr>
        <w:t>（</w:t>
      </w:r>
      <w:r>
        <w:rPr>
          <w:rFonts w:hint="eastAsia" w:ascii="楷体" w:hAnsi="楷体" w:eastAsia="楷体" w:cs="楷体"/>
          <w:sz w:val="32"/>
          <w:szCs w:val="32"/>
          <w:lang w:eastAsia="zh-CN"/>
        </w:rPr>
        <w:t>四</w:t>
      </w:r>
      <w:r>
        <w:rPr>
          <w:rFonts w:hint="eastAsia" w:ascii="楷体" w:hAnsi="楷体" w:eastAsia="楷体" w:cs="楷体"/>
          <w:sz w:val="32"/>
          <w:szCs w:val="32"/>
          <w:lang w:val="en-US" w:eastAsia="zh-Hans"/>
        </w:rPr>
        <w:t>）</w:t>
      </w:r>
      <w:r>
        <w:rPr>
          <w:rFonts w:hint="eastAsia" w:ascii="楷体" w:hAnsi="楷体" w:eastAsia="楷体" w:cs="楷体"/>
          <w:sz w:val="32"/>
          <w:szCs w:val="32"/>
          <w:lang w:val="en-US" w:eastAsia="zh-CN"/>
        </w:rPr>
        <w:t>重塑管理架构</w:t>
      </w:r>
      <w:r>
        <w:rPr>
          <w:rFonts w:hint="eastAsia" w:ascii="楷体" w:hAnsi="楷体" w:eastAsia="楷体" w:cs="楷体"/>
          <w:sz w:val="32"/>
          <w:szCs w:val="32"/>
          <w:lang w:val="en-US" w:eastAsia="zh-Hans"/>
        </w:rPr>
        <w:t>，实现“一体管理”。</w:t>
      </w:r>
      <w:r>
        <w:rPr>
          <w:rFonts w:hint="eastAsia" w:ascii="仿宋_GB2312" w:eastAsia="仿宋_GB2312"/>
          <w:sz w:val="32"/>
          <w:szCs w:val="32"/>
          <w:lang w:val="en-US" w:eastAsia="zh-Hans"/>
        </w:rPr>
        <w:t>对纳入“一业一证”改革范围的行业，各县</w:t>
      </w:r>
      <w:r>
        <w:rPr>
          <w:rFonts w:hint="eastAsia" w:ascii="仿宋_GB2312" w:eastAsia="仿宋_GB2312"/>
          <w:sz w:val="32"/>
          <w:szCs w:val="32"/>
          <w:lang w:val="en-US" w:eastAsia="zh-CN"/>
        </w:rPr>
        <w:t>区</w:t>
      </w:r>
      <w:r>
        <w:rPr>
          <w:rFonts w:hint="eastAsia" w:ascii="仿宋_GB2312" w:eastAsia="仿宋_GB2312"/>
          <w:sz w:val="32"/>
          <w:szCs w:val="32"/>
          <w:lang w:val="en-US" w:eastAsia="zh-Hans"/>
        </w:rPr>
        <w:t>、新区逐一明确行业主管部门和各单项审批事项的事中事后监管部门。配套建立与行业综合许可相适应的行业综合监管制度，理顺监管职责，明确监管规则和标准，梳理行业监管风险点，组织开展综合监管执法。</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lang w:val="en-US" w:eastAsia="zh-CN"/>
        </w:rPr>
      </w:pPr>
      <w:r>
        <w:rPr>
          <w:rFonts w:hint="eastAsia" w:ascii="黑体" w:hAnsi="黑体" w:eastAsia="黑体" w:cs="黑体"/>
          <w:sz w:val="32"/>
          <w:szCs w:val="32"/>
          <w:lang w:val="en-US" w:eastAsia="zh-CN"/>
        </w:rPr>
        <w:t>三、实施步骤</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楷体" w:hAnsi="楷体" w:eastAsia="楷体" w:cs="楷体"/>
          <w:sz w:val="32"/>
          <w:szCs w:val="32"/>
          <w:lang w:val="en-US" w:eastAsia="zh-CN"/>
        </w:rPr>
        <w:t>（一）制定实施方案。</w:t>
      </w:r>
      <w:r>
        <w:rPr>
          <w:rFonts w:hint="eastAsia" w:ascii="Times New Roman" w:hAnsi="Times New Roman" w:eastAsia="仿宋_GB2312" w:cs="Times New Roman"/>
          <w:sz w:val="32"/>
          <w:szCs w:val="32"/>
          <w:lang w:val="en-US" w:eastAsia="zh-CN"/>
        </w:rPr>
        <w:t>各县区、新区应分别制定本辖区“一业一证”实施方案，并自实施方案印发之日起，3个工作日内通过邮箱报送至市行政审批局备案。若目录有更新、调整，应及时通过邮箱报市行政审批局备案，市行政审批局将统筹全市统一目录的梳理、汇总、发布等工作。</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楷体" w:hAnsi="楷体" w:eastAsia="楷体" w:cs="楷体"/>
          <w:sz w:val="32"/>
          <w:szCs w:val="32"/>
          <w:lang w:val="en-US" w:eastAsia="zh-CN"/>
        </w:rPr>
        <w:t>（二）规范证件管理。</w:t>
      </w:r>
      <w:r>
        <w:rPr>
          <w:rFonts w:hint="eastAsia" w:ascii="Times New Roman" w:hAnsi="Times New Roman" w:eastAsia="仿宋_GB2312" w:cs="Times New Roman"/>
          <w:sz w:val="32"/>
          <w:szCs w:val="32"/>
          <w:lang w:val="en-US" w:eastAsia="zh-CN"/>
        </w:rPr>
        <w:t>按照“谁发证，谁制作、谁管理”的原则，根据柳州市统一行业综合许可证样式和规格（见附件1）制作行业综合许可证，并制作制作加载集成有效许可信息的二维码（制作流程见附件2）。对颁发的行业综合许可证，实行备案制管理，及时将其报至市行政审批局备案，并归集至电子证照库。</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lang w:val="en-US" w:eastAsia="zh-CN"/>
        </w:rPr>
      </w:pPr>
      <w:r>
        <w:rPr>
          <w:rFonts w:hint="eastAsia" w:ascii="楷体" w:hAnsi="楷体" w:eastAsia="楷体" w:cs="楷体"/>
          <w:sz w:val="32"/>
          <w:szCs w:val="32"/>
          <w:lang w:val="en-US" w:eastAsia="zh-CN"/>
        </w:rPr>
        <w:t>（三）推进数据归集。</w:t>
      </w:r>
      <w:r>
        <w:rPr>
          <w:rFonts w:hint="eastAsia" w:ascii="仿宋_GB2312" w:eastAsia="仿宋_GB2312"/>
          <w:sz w:val="32"/>
          <w:szCs w:val="32"/>
          <w:lang w:val="en-US" w:eastAsia="zh-CN"/>
        </w:rPr>
        <w:t>健全跨地区、跨部门、跨层级的数据共享机制, 利用现有</w:t>
      </w:r>
      <w:r>
        <w:rPr>
          <w:rFonts w:hint="eastAsia" w:ascii="仿宋_GB2312" w:hAnsi="仿宋_GB2312" w:eastAsia="仿宋_GB2312" w:cs="仿宋_GB2312"/>
          <w:color w:val="auto"/>
          <w:sz w:val="32"/>
          <w:szCs w:val="32"/>
          <w:lang w:val="en" w:eastAsia="zh-CN"/>
        </w:rPr>
        <w:t>自治区数据共享交换平台</w:t>
      </w:r>
      <w:r>
        <w:rPr>
          <w:rFonts w:hint="eastAsia" w:ascii="仿宋_GB2312" w:eastAsia="仿宋_GB2312"/>
          <w:sz w:val="32"/>
          <w:szCs w:val="32"/>
          <w:lang w:val="en-US" w:eastAsia="zh-CN"/>
        </w:rPr>
        <w:t>，将广西数字政务一体化平台与各自建系统、电子证照库、人口库、法人库等基础数据库的信息资源交换，实现市场主体的电子证照、电子材料、审批结果等数据共享,为审批提质增效提供支撑。</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仿宋_GB2312" w:eastAsia="仿宋_GB2312"/>
          <w:sz w:val="32"/>
          <w:szCs w:val="32"/>
          <w:lang w:val="en-US" w:eastAsia="zh-CN"/>
        </w:rPr>
      </w:pPr>
      <w:r>
        <w:rPr>
          <w:rFonts w:hint="eastAsia" w:ascii="楷体" w:hAnsi="楷体" w:eastAsia="楷体" w:cs="楷体"/>
          <w:sz w:val="32"/>
          <w:szCs w:val="32"/>
          <w:lang w:val="en-US" w:eastAsia="zh-CN"/>
        </w:rPr>
        <w:t>（四）强化协同联动。</w:t>
      </w:r>
      <w:r>
        <w:rPr>
          <w:rFonts w:hint="eastAsia" w:ascii="仿宋_GB2312" w:eastAsia="仿宋_GB2312"/>
          <w:sz w:val="32"/>
          <w:szCs w:val="32"/>
          <w:lang w:val="en-US" w:eastAsia="zh-CN"/>
        </w:rPr>
        <w:t xml:space="preserve">健全行业综合许可和监管执法信息双向反馈机制，加强各部门在审批、服务、监管全流程各环节中的衔接，确保部门协同无缝隙、风险防范无死角.加快转变监管方式，大力推行“互联网＋监管”、“双随机、一公开”监管、信用分类监管、协同联合监管等,在避免执法扰民的同时提升监管实效。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both"/>
        <w:textAlignment w:val="auto"/>
        <w:rPr>
          <w:rFonts w:hint="eastAsia" w:ascii="仿宋_GB2312" w:eastAsia="仿宋_GB2312" w:hAnsiTheme="minorAscii" w:cstheme="minorBidi"/>
          <w:kern w:val="2"/>
          <w:sz w:val="32"/>
          <w:szCs w:val="32"/>
          <w:lang w:val="en-US" w:eastAsia="zh-CN" w:bidi="ar-SA"/>
        </w:rPr>
      </w:pPr>
      <w:r>
        <w:rPr>
          <w:rFonts w:hint="eastAsia" w:ascii="楷体" w:hAnsi="楷体" w:eastAsia="楷体" w:cs="楷体"/>
          <w:sz w:val="32"/>
          <w:szCs w:val="32"/>
          <w:lang w:val="en-US" w:eastAsia="zh-CN"/>
        </w:rPr>
        <w:t>（五）加强法治保障。</w:t>
      </w:r>
      <w:r>
        <w:rPr>
          <w:rFonts w:hint="eastAsia" w:ascii="仿宋_GB2312" w:eastAsia="仿宋_GB2312" w:hAnsiTheme="minorAscii" w:cstheme="minorBidi"/>
          <w:kern w:val="2"/>
          <w:sz w:val="32"/>
          <w:szCs w:val="32"/>
          <w:lang w:val="en-US" w:eastAsia="zh-CN" w:bidi="ar-SA"/>
        </w:rPr>
        <w:t>行业综合许可证不取消现有行政许可事项，不改变现有行政许可的实施主体、法律效力和法律关系。因实施行政许可引发的行政复议和行政诉讼，依法由相关行政审批部门承担相应责任。在办理行业综合许可证时，办理机构应当将具体实施相关行政许可的行政审批部门和相应救济方式告知市场主体。</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五、工作要求</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ascii="仿宋_GB2312" w:eastAsia="仿宋_GB2312"/>
          <w:sz w:val="32"/>
          <w:szCs w:val="32"/>
        </w:rPr>
      </w:pPr>
      <w:r>
        <w:rPr>
          <w:rFonts w:hint="eastAsia" w:ascii="楷体" w:hAnsi="楷体" w:eastAsia="楷体" w:cs="楷体"/>
          <w:sz w:val="32"/>
          <w:szCs w:val="32"/>
          <w:lang w:val="en-US" w:eastAsia="zh-CN"/>
        </w:rPr>
        <w:t>（一）加强组织领导。</w:t>
      </w:r>
      <w:r>
        <w:rPr>
          <w:rFonts w:hint="eastAsia" w:ascii="仿宋_GB2312" w:eastAsia="仿宋_GB2312"/>
          <w:sz w:val="32"/>
          <w:szCs w:val="32"/>
          <w:lang w:val="en-US" w:eastAsia="zh-CN"/>
        </w:rPr>
        <w:t>各县区、新区，各有关部门要统一思想认识，</w:t>
      </w:r>
      <w:r>
        <w:rPr>
          <w:rFonts w:hint="eastAsia" w:ascii="仿宋_GB2312" w:eastAsia="仿宋_GB2312"/>
          <w:sz w:val="32"/>
          <w:szCs w:val="32"/>
        </w:rPr>
        <w:t>建立健全“一业一证”改革工作推进机制，按照系统集成、协同高效的要求，注重改革力量的有效整合、协同发力，夯实工作责任，落实各项保障，确保改革落实落地。</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eastAsia="仿宋_GB2312"/>
          <w:sz w:val="32"/>
          <w:szCs w:val="32"/>
        </w:rPr>
      </w:pPr>
      <w:r>
        <w:rPr>
          <w:rFonts w:hint="eastAsia" w:ascii="楷体" w:hAnsi="楷体" w:eastAsia="楷体" w:cs="楷体"/>
          <w:sz w:val="32"/>
          <w:szCs w:val="32"/>
          <w:lang w:val="en-US" w:eastAsia="zh-CN"/>
        </w:rPr>
        <w:t>（二）加强执行落实。</w:t>
      </w:r>
      <w:r>
        <w:rPr>
          <w:rFonts w:hint="eastAsia" w:ascii="仿宋_GB2312" w:eastAsia="仿宋_GB2312"/>
          <w:sz w:val="32"/>
          <w:szCs w:val="32"/>
          <w:lang w:val="en-US" w:eastAsia="zh-CN"/>
        </w:rPr>
        <w:t>各县区、新区要制定“一业一证”改革工作方案，明确时间表、线路图，有序推进改革落地。市级相关部门要</w:t>
      </w:r>
      <w:r>
        <w:rPr>
          <w:rFonts w:hint="eastAsia" w:ascii="仿宋_GB2312" w:eastAsia="仿宋_GB2312"/>
          <w:sz w:val="32"/>
          <w:szCs w:val="32"/>
        </w:rPr>
        <w:t>加强对本系统 “一业一证”改革工作的指导、</w:t>
      </w:r>
      <w:r>
        <w:rPr>
          <w:rFonts w:hint="eastAsia" w:ascii="仿宋_GB2312" w:eastAsia="仿宋_GB2312"/>
          <w:sz w:val="32"/>
          <w:szCs w:val="32"/>
          <w:lang w:eastAsia="zh-CN"/>
        </w:rPr>
        <w:t>监督</w:t>
      </w:r>
      <w:r>
        <w:rPr>
          <w:rFonts w:hint="eastAsia" w:ascii="仿宋_GB2312" w:eastAsia="仿宋_GB2312"/>
          <w:sz w:val="32"/>
          <w:szCs w:val="32"/>
        </w:rPr>
        <w:t>和规范，</w:t>
      </w:r>
      <w:r>
        <w:rPr>
          <w:rFonts w:hint="eastAsia" w:ascii="仿宋_GB2312" w:eastAsia="仿宋_GB2312"/>
          <w:color w:val="auto"/>
          <w:sz w:val="32"/>
          <w:szCs w:val="32"/>
        </w:rPr>
        <w:t>畅通联系渠道</w:t>
      </w:r>
      <w:r>
        <w:rPr>
          <w:rFonts w:hint="eastAsia" w:ascii="仿宋_GB2312" w:eastAsia="仿宋_GB2312"/>
          <w:color w:val="auto"/>
          <w:sz w:val="32"/>
          <w:szCs w:val="32"/>
          <w:lang w:eastAsia="zh-CN"/>
        </w:rPr>
        <w:t>，</w:t>
      </w:r>
      <w:r>
        <w:rPr>
          <w:rFonts w:hint="eastAsia" w:ascii="仿宋_GB2312" w:eastAsia="仿宋_GB2312"/>
          <w:sz w:val="32"/>
          <w:szCs w:val="32"/>
          <w:lang w:eastAsia="zh-CN"/>
        </w:rPr>
        <w:t>协调解决工作中遇到的困难和问题</w:t>
      </w:r>
      <w:r>
        <w:rPr>
          <w:rFonts w:hint="eastAsia" w:ascii="仿宋_GB2312" w:eastAsia="仿宋_GB2312"/>
          <w:sz w:val="32"/>
          <w:szCs w:val="32"/>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left"/>
        <w:textAlignment w:val="auto"/>
        <w:rPr>
          <w:rFonts w:hint="eastAsia" w:ascii="仿宋_GB2312" w:eastAsia="仿宋_GB2312"/>
          <w:color w:val="auto"/>
          <w:sz w:val="32"/>
          <w:szCs w:val="32"/>
          <w:lang w:eastAsia="zh-CN"/>
        </w:rPr>
      </w:pPr>
      <w:r>
        <w:rPr>
          <w:rFonts w:hint="eastAsia" w:ascii="楷体" w:hAnsi="楷体" w:eastAsia="楷体" w:cs="楷体"/>
          <w:sz w:val="32"/>
          <w:szCs w:val="32"/>
          <w:lang w:val="en-US" w:eastAsia="zh-CN"/>
        </w:rPr>
        <w:t>（三）加强培训指导。</w:t>
      </w:r>
      <w:r>
        <w:rPr>
          <w:rFonts w:hint="eastAsia" w:ascii="仿宋_GB2312" w:eastAsia="仿宋_GB2312"/>
          <w:sz w:val="32"/>
          <w:szCs w:val="32"/>
          <w:lang w:eastAsia="zh-CN"/>
        </w:rPr>
        <w:t>“一业一证”各行业涉及事项的</w:t>
      </w:r>
      <w:r>
        <w:rPr>
          <w:rFonts w:hint="eastAsia" w:ascii="仿宋_GB2312" w:hAnsi="宋体" w:eastAsia="仿宋_GB2312" w:cs="仿宋_GB2312"/>
          <w:i w:val="0"/>
          <w:caps w:val="0"/>
          <w:color w:val="auto"/>
          <w:spacing w:val="0"/>
          <w:kern w:val="0"/>
          <w:sz w:val="32"/>
          <w:szCs w:val="32"/>
          <w:shd w:val="clear" w:fill="FFFFFF"/>
          <w:lang w:val="en-US" w:eastAsia="zh-CN" w:bidi="ar"/>
        </w:rPr>
        <w:t>有关部门，通过</w:t>
      </w:r>
      <w:r>
        <w:rPr>
          <w:rFonts w:hint="eastAsia" w:ascii="仿宋_GB2312" w:hAnsi="宋体" w:eastAsia="仿宋_GB2312" w:cs="仿宋_GB2312"/>
          <w:color w:val="000000"/>
          <w:kern w:val="0"/>
          <w:sz w:val="31"/>
          <w:szCs w:val="31"/>
          <w:lang w:val="en-US" w:eastAsia="zh-CN" w:bidi="ar"/>
        </w:rPr>
        <w:t>采取集中培训、跟班学习、实际案例演示等多种形式</w:t>
      </w:r>
      <w:r>
        <w:rPr>
          <w:rFonts w:ascii="仿宋_GB2312" w:hAnsi="宋体" w:eastAsia="仿宋_GB2312" w:cs="仿宋_GB2312"/>
          <w:i w:val="0"/>
          <w:caps w:val="0"/>
          <w:color w:val="auto"/>
          <w:spacing w:val="0"/>
          <w:kern w:val="0"/>
          <w:sz w:val="32"/>
          <w:szCs w:val="32"/>
          <w:shd w:val="clear" w:fill="FFFFFF"/>
          <w:lang w:val="en-US" w:eastAsia="zh-CN" w:bidi="ar"/>
        </w:rPr>
        <w:t>，做好</w:t>
      </w:r>
      <w:r>
        <w:rPr>
          <w:rFonts w:hint="eastAsia" w:ascii="仿宋_GB2312" w:hAnsi="宋体" w:eastAsia="仿宋_GB2312" w:cs="仿宋_GB2312"/>
          <w:i w:val="0"/>
          <w:caps w:val="0"/>
          <w:color w:val="auto"/>
          <w:spacing w:val="0"/>
          <w:kern w:val="0"/>
          <w:sz w:val="32"/>
          <w:szCs w:val="32"/>
          <w:shd w:val="clear" w:fill="FFFFFF"/>
          <w:lang w:val="en-US" w:eastAsia="zh-CN" w:bidi="ar"/>
        </w:rPr>
        <w:t>“一业一证”专窗</w:t>
      </w:r>
      <w:r>
        <w:rPr>
          <w:rFonts w:ascii="仿宋_GB2312" w:hAnsi="宋体" w:eastAsia="仿宋_GB2312" w:cs="仿宋_GB2312"/>
          <w:i w:val="0"/>
          <w:caps w:val="0"/>
          <w:color w:val="auto"/>
          <w:spacing w:val="0"/>
          <w:kern w:val="0"/>
          <w:sz w:val="32"/>
          <w:szCs w:val="32"/>
          <w:shd w:val="clear" w:fill="FFFFFF"/>
          <w:lang w:val="en-US" w:eastAsia="zh-CN" w:bidi="ar"/>
        </w:rPr>
        <w:t>人员的业务指导和培训，提升“一业一证”专窗人员业务能力</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eastAsia="仿宋_GB2312"/>
          <w:sz w:val="32"/>
          <w:szCs w:val="32"/>
        </w:rPr>
      </w:pPr>
      <w:r>
        <w:rPr>
          <w:rFonts w:hint="eastAsia" w:ascii="楷体" w:hAnsi="楷体" w:eastAsia="楷体" w:cs="楷体"/>
          <w:sz w:val="32"/>
          <w:szCs w:val="32"/>
          <w:lang w:val="en-US" w:eastAsia="zh-CN"/>
        </w:rPr>
        <w:t>（四）强化宣传引导。</w:t>
      </w:r>
      <w:r>
        <w:rPr>
          <w:rFonts w:hint="eastAsia" w:ascii="仿宋_GB2312" w:eastAsia="仿宋_GB2312"/>
          <w:sz w:val="32"/>
          <w:szCs w:val="32"/>
          <w:lang w:val="en-US" w:eastAsia="zh-CN"/>
        </w:rPr>
        <w:t>各县区、新区要</w:t>
      </w:r>
      <w:r>
        <w:rPr>
          <w:rFonts w:hint="eastAsia" w:ascii="仿宋_GB2312" w:eastAsia="仿宋_GB2312"/>
          <w:sz w:val="32"/>
          <w:szCs w:val="32"/>
        </w:rPr>
        <w:t>做好政策解读和宣传工作，通过线上、线下渠道，及时公布行业清单、办事指南。</w:t>
      </w:r>
      <w:r>
        <w:rPr>
          <w:rFonts w:hint="eastAsia" w:ascii="仿宋_GB2312" w:eastAsia="仿宋_GB2312"/>
          <w:sz w:val="32"/>
          <w:szCs w:val="32"/>
          <w:lang w:eastAsia="zh-CN"/>
        </w:rPr>
        <w:t>要及时回应关切，主动引导预期，</w:t>
      </w:r>
      <w:r>
        <w:rPr>
          <w:rFonts w:hint="eastAsia" w:ascii="仿宋_GB2312" w:eastAsia="仿宋_GB2312"/>
          <w:sz w:val="32"/>
          <w:szCs w:val="32"/>
        </w:rPr>
        <w:t>提高改革的社会认知度和市场主体获得感，确保改革取得实效。</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eastAsia="仿宋_GB2312"/>
          <w:sz w:val="32"/>
          <w:szCs w:val="32"/>
        </w:rPr>
      </w:pPr>
      <w:r>
        <w:rPr>
          <w:rFonts w:hint="eastAsia" w:ascii="Times New Roman" w:hAnsi="Times New Roman" w:eastAsia="仿宋_GB2312" w:cs="Times New Roman"/>
          <w:sz w:val="32"/>
          <w:szCs w:val="32"/>
          <w:lang w:val="en-US" w:eastAsia="zh-CN"/>
        </w:rPr>
        <w:t>邮箱：</w:t>
      </w:r>
      <w:r>
        <w:rPr>
          <w:rFonts w:hint="eastAsia" w:ascii="Times New Roman" w:hAnsi="Times New Roman" w:eastAsia="仿宋_GB2312" w:cs="Times New Roman"/>
          <w:sz w:val="32"/>
          <w:szCs w:val="32"/>
          <w:u w:val="single"/>
          <w:lang w:val="en-US" w:eastAsia="zh-CN"/>
        </w:rPr>
        <w:t>sgb3678687@163.com</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eastAsia="仿宋_GB2312"/>
          <w:sz w:val="32"/>
          <w:szCs w:val="32"/>
        </w:rPr>
      </w:pP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仿宋_GB2312" w:eastAsia="仿宋_GB2312"/>
          <w:sz w:val="32"/>
          <w:szCs w:val="32"/>
          <w:lang w:eastAsia="zh-CN"/>
        </w:rPr>
        <w:t>附件：</w:t>
      </w:r>
      <w:r>
        <w:rPr>
          <w:rFonts w:hint="eastAsia" w:ascii="Times New Roman" w:hAnsi="Times New Roman" w:eastAsia="仿宋_GB2312" w:cs="Times New Roman"/>
          <w:sz w:val="32"/>
          <w:szCs w:val="32"/>
          <w:lang w:val="en-US" w:eastAsia="zh-CN"/>
        </w:rPr>
        <w:t>1.柳州行业综合许可证样式和规格</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2.二维码制作流程</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3.柳州市“一业一证”行业目录模板</w:t>
      </w: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keepNext w:val="0"/>
        <w:keepLines w:val="0"/>
        <w:pageBreakBefore w:val="0"/>
        <w:kinsoku/>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柳州行业综合许可证样式和规格</w:t>
      </w:r>
    </w:p>
    <w:p>
      <w:pPr>
        <w:keepNext w:val="0"/>
        <w:keepLines w:val="0"/>
        <w:pageBreakBefore w:val="0"/>
        <w:kinsoku/>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一、行业综合许可证样式</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行业综合许可证样式见图1。</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474335" cy="3869690"/>
            <wp:effectExtent l="0" t="0" r="12065" b="16510"/>
            <wp:docPr id="9" name="图片 9" descr="DOC060722-060720221121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60722-06072022112124_00"/>
                    <pic:cNvPicPr>
                      <a:picLocks noChangeAspect="1"/>
                    </pic:cNvPicPr>
                  </pic:nvPicPr>
                  <pic:blipFill>
                    <a:blip r:embed="rId5"/>
                    <a:stretch>
                      <a:fillRect/>
                    </a:stretch>
                  </pic:blipFill>
                  <pic:spPr>
                    <a:xfrm>
                      <a:off x="0" y="0"/>
                      <a:ext cx="5474335" cy="3869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图1 行业综合许可证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二、行业综合许可证规格</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（一）总体要求</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《行业综合许可证》为横版，只设正本，尺寸为: </w:t>
      </w:r>
      <w:r>
        <w:rPr>
          <w:rFonts w:hint="eastAsia" w:ascii="Times New Roman" w:hAnsi="Times New Roman" w:eastAsia="仿宋_GB2312" w:cs="Times New Roman"/>
          <w:color w:val="auto"/>
          <w:sz w:val="32"/>
          <w:szCs w:val="32"/>
          <w:lang w:val="en-US" w:eastAsia="zh-CN"/>
        </w:rPr>
        <w:t>297mm（长）×420mm（宽）。正本照面按照印制国徽、边</w:t>
      </w:r>
      <w:r>
        <w:rPr>
          <w:rFonts w:hint="eastAsia" w:ascii="Times New Roman" w:hAnsi="Times New Roman" w:eastAsia="仿宋_GB2312" w:cs="Times New Roman"/>
          <w:sz w:val="32"/>
          <w:szCs w:val="32"/>
          <w:lang w:val="en-US" w:eastAsia="zh-CN"/>
        </w:rPr>
        <w:t>框、标题、发证机关公章、制证日期等内容。正本照面打印统一社会信用代码、记载事项名称及内容、二维码等内容。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（二）纸张及防伪要求</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行业综合许可证的用纸为A3型亚光铜版印刷纸（即297毫米x420亳米），并符合GB/T 10335.1中定量为157e/m2，平滑度≥400s的纸张要求。</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在正本左上角向右35毫米，上边缘向下55毫米处开始，隐印有“行业综合许可”字样的荧光防伪标识。“行业综合许可”字体为隶书，字号为40磅，防伪油墨为无色荧光绿（表面看不到，只能通过验钞灯才可以看到）。</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注：本标准中图文区的文字（包括荧光防伪文字以及图文区中的数据项等）位置是指文字的左边缘距离许可证左边缘的距离，文字上边缘距离许可证上边缘的距离。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（三）图文区尺寸</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行业综合许可证的图文区尺寸为:236毫米×380毫米:图文区外边缘距离许可证上下左右上边缘均为20毫米（证书花边距边缘20毫米）。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（四）行业综合许可证的构成</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行业综合许可证由下列元素构成: </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1.边框;</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 底色;</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3.国徽(烫金)；</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4.数据项。数据项包括:</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（1）行业综合许可证（烫金）</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（2）经营者名称;</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（3）法定代表人（负责人）;</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（4）行业类别;</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（5）统一社会信用代码;</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（6）经营场所;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（7）许可项目;</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（8）发证机关;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（9）制证日期;</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（10）二维码。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（五）正本图文区元素说明</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1.边框</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边框宽度均为9毫米</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边框颜色与现行营业执照正本一致。</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边框左侧外边缘距离许可证左边缘20毫米，边框左侧内边缘距离许可证左边缘29毫米。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边框右侧外边缘距离许可证左边缘400毫米，边框右侧内边缘距离许可证左边缘391毫米。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边框上侧外边缘距离许可证上边缘39毫米，边框上侧内边缘距离许可证上边缘48毫米。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边框下侧外边缘距离许可证上边缘275毫米，边框下侧内边缘距离许可证上边缘266毫米。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边框花纹样式与现行营业执照正本中的花纹样式一致。</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注1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本文件中图文区元素区域位置误差均为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注2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正本图文区元素</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国徽徽章除外</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颜色未作特别说明的均为黑色CMYK=K:100</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2.底色</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底色颜色：米色花纹。</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3.国徽</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徽章居于许可证横向居中位置，国徽:51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55mm。</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徽章左侧边缘距离许可证左边缘185毫米，右侧边缘距离许可证左边缘236毫米。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徽章上侧边缘距离许可证上边缘10毫米，下侧边缘距离许可证上边缘65毫米。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 数据项</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行业综合许可证</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从距离许可证左边缘123毫米，上边缘83毫米开始。</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表示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字体为方正大标宋简体</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简称大标宋</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，字号为65磅，间距为120磅，字体颜色为 CMYK=C:30，M:35，Y:100。</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统一社会信用代码</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从距离许可证左边缘218毫米，上边缘114毫米处开始，连续排列。</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表示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事项内容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紧接事项名称连续排列，字体为宋体，字号为16磅。</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（3）经营者名称</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区域：从距离许可证左边缘75毫米，上边缘136毫米处开始。</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 xml:space="preserve">表示：字体为黑体，字号为小一。 </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事项内容：紧接事项名称连续排列，字体为宋体，字号为20磅。</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（4）法定代表人（负责人）</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区域：从距离许可证左边缘75毫米，上边缘151毫米处开始，连续排列。</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表示：字体为黑体，字号为小一。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事项内容：紧接事项名称连续排列，字体为宋体，字号为20磅。</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（5）行业类别</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区域：从距离许可证左边缘75毫米，上边缘166毫米处开始，连续排列，与“经营者名称”保持两端对齐。</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表示：字体为黑体，字号为小一。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事项内容：紧接事项名称连续排列，字体为宋体，字号为20磅。</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（6）经营场所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区域：从距离许可证左边缘75毫米，上边缘181毫米处开始，与“经营者名称”保持两端对齐。</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表示：字体为黑体，字号为小一。</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事项内容:紧接事项名称连续排列，字体为宋体，字号为20磅（如地址较长，可适当缩小字号）。</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（7）许可项目</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区域：从距离许可证左边缘75毫米，上边缘196毫米处开始，与“经营者名称”保持两端对齐。</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表示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事项内容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紧接事项名称连续排列，字体为宋体，字号为20磅，事项内容打印区域宽度为20毫米。</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如经营项目内容较多，打印区域不够，可适当缩小字号</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发证机关</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从距离许可证左边缘252毫米，上边缘228毫米处开始，连续排列，与“统一社会信用代码”保持左端对齐。</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表示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事项内容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发证机关印章。</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val="en-US" w:eastAsia="zh-CN"/>
        </w:rPr>
        <w:t>制证日期</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从距离许可证左边缘252毫米，上边缘244毫米处开始，连续排列。</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表示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字体为黑体，字号为小一。</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事项内容</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紧接事项名称连续排列，字体为宋体，字号为20磅。</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二维码</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宽为31毫米，高为31毫米，二维码距离许可证左边缘89毫米，上边缘220毫米</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二维码中记载经营者名称、法定代表人</w:t>
      </w:r>
      <w:r>
        <w:rPr>
          <w:rFonts w:hint="eastAsia" w:ascii="Times New Roman" w:hAnsi="Times New Roman" w:eastAsia="仿宋_GB2312" w:cs="Times New Roman"/>
          <w:color w:val="auto"/>
          <w:sz w:val="32"/>
          <w:szCs w:val="32"/>
          <w:lang w:val="en-US" w:eastAsia="zh-CN"/>
        </w:rPr>
        <w:t>（负责人）</w:t>
      </w:r>
      <w:r>
        <w:rPr>
          <w:rFonts w:hint="default" w:ascii="Times New Roman" w:hAnsi="Times New Roman" w:eastAsia="仿宋_GB2312" w:cs="Times New Roman"/>
          <w:color w:val="auto"/>
          <w:sz w:val="32"/>
          <w:szCs w:val="32"/>
          <w:lang w:val="en-US" w:eastAsia="zh-CN"/>
        </w:rPr>
        <w:t>、许可证编号、行业</w:t>
      </w:r>
      <w:r>
        <w:rPr>
          <w:rFonts w:hint="eastAsia" w:ascii="Times New Roman" w:hAnsi="Times New Roman" w:eastAsia="仿宋_GB2312" w:cs="Times New Roman"/>
          <w:color w:val="auto"/>
          <w:sz w:val="32"/>
          <w:szCs w:val="32"/>
          <w:lang w:val="en-US" w:eastAsia="zh-CN"/>
        </w:rPr>
        <w:t>类别</w:t>
      </w:r>
      <w:r>
        <w:rPr>
          <w:rFonts w:hint="default" w:ascii="Times New Roman" w:hAnsi="Times New Roman" w:eastAsia="仿宋_GB2312" w:cs="Times New Roman"/>
          <w:color w:val="auto"/>
          <w:sz w:val="32"/>
          <w:szCs w:val="32"/>
          <w:lang w:val="en-US" w:eastAsia="zh-CN"/>
        </w:rPr>
        <w:t>、统一社会信用代码、经营场所、许可项目、发证机关、制证日期</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扫描二维码，可以自动查出该市场主体已取得的许可证信息。</w:t>
      </w:r>
    </w:p>
    <w:p>
      <w:pPr>
        <w:keepNext w:val="0"/>
        <w:keepLines w:val="0"/>
        <w:pageBreakBefore w:val="0"/>
        <w:widowControl/>
        <w:kinsoku/>
        <w:wordWrap w:val="0"/>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sectPr>
          <w:footerReference r:id="rId3" w:type="default"/>
          <w:pgSz w:w="11906" w:h="16838"/>
          <w:pgMar w:top="2098" w:right="1474" w:bottom="1417" w:left="1587" w:header="851" w:footer="992" w:gutter="0"/>
          <w:pgNumType w:fmt="numberInDash" w:start="1"/>
          <w:cols w:space="425" w:num="1"/>
          <w:docGrid w:type="lines" w:linePitch="312" w:charSpace="0"/>
        </w:sectPr>
      </w:pPr>
      <w:r>
        <w:rPr>
          <w:rFonts w:hint="default" w:ascii="Times New Roman" w:hAnsi="Times New Roman" w:eastAsia="仿宋_GB2312" w:cs="Times New Roman"/>
          <w:color w:val="auto"/>
          <w:sz w:val="32"/>
          <w:szCs w:val="32"/>
          <w:lang w:val="en-US" w:eastAsia="zh-CN"/>
        </w:rPr>
        <w:t>说明</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二维码打印分辨率不低于300dpi。</w:t>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二维码制作流程</w:t>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一、二维码制作网址</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草料二维码生成器：</w:t>
      </w:r>
      <w:r>
        <w:rPr>
          <w:rFonts w:hint="eastAsia" w:ascii="仿宋_GB2312" w:hAnsi="仿宋_GB2312" w:eastAsia="仿宋_GB2312" w:cs="仿宋_GB2312"/>
          <w:color w:val="auto"/>
          <w:sz w:val="32"/>
          <w:szCs w:val="32"/>
          <w:lang w:val="en-US" w:eastAsia="zh-CN"/>
        </w:rPr>
        <w:fldChar w:fldCharType="begin"/>
      </w:r>
      <w:r>
        <w:rPr>
          <w:rFonts w:hint="eastAsia" w:ascii="仿宋_GB2312" w:hAnsi="仿宋_GB2312" w:eastAsia="仿宋_GB2312" w:cs="仿宋_GB2312"/>
          <w:color w:val="auto"/>
          <w:sz w:val="32"/>
          <w:szCs w:val="32"/>
          <w:lang w:val="en-US" w:eastAsia="zh-CN"/>
        </w:rPr>
        <w:instrText xml:space="preserve"> HYPERLINK "https://cli.im/" </w:instrText>
      </w:r>
      <w:r>
        <w:rPr>
          <w:rFonts w:hint="eastAsia" w:ascii="仿宋_GB2312" w:hAnsi="仿宋_GB2312" w:eastAsia="仿宋_GB2312" w:cs="仿宋_GB2312"/>
          <w:color w:val="auto"/>
          <w:sz w:val="32"/>
          <w:szCs w:val="32"/>
          <w:lang w:val="en-US" w:eastAsia="zh-CN"/>
        </w:rPr>
        <w:fldChar w:fldCharType="separate"/>
      </w:r>
      <w:r>
        <w:rPr>
          <w:rStyle w:val="11"/>
          <w:rFonts w:hint="eastAsia" w:ascii="仿宋_GB2312" w:hAnsi="仿宋_GB2312" w:eastAsia="仿宋_GB2312" w:cs="仿宋_GB2312"/>
          <w:sz w:val="32"/>
          <w:szCs w:val="32"/>
          <w:lang w:val="en-US" w:eastAsia="zh-CN"/>
        </w:rPr>
        <w:t>https://cli.im/</w:t>
      </w:r>
      <w:r>
        <w:rPr>
          <w:rFonts w:hint="eastAsia" w:ascii="仿宋_GB2312" w:hAnsi="仿宋_GB2312" w:eastAsia="仿宋_GB2312" w:cs="仿宋_GB2312"/>
          <w:color w:val="auto"/>
          <w:sz w:val="32"/>
          <w:szCs w:val="32"/>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二、用户注册</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点击“免费注册”，选择“企业用户注册”，按网站提示步骤进行注册</w:t>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cs="仿宋_GB2312" w:eastAsiaTheme="minorEastAsia"/>
          <w:color w:val="auto"/>
          <w:sz w:val="32"/>
          <w:szCs w:val="32"/>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272415</wp:posOffset>
            </wp:positionV>
            <wp:extent cx="5274310" cy="1373505"/>
            <wp:effectExtent l="0" t="0" r="2540" b="17145"/>
            <wp:wrapNone/>
            <wp:docPr id="5" name="图片 5" descr="1654156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4156708(1)"/>
                    <pic:cNvPicPr>
                      <a:picLocks noChangeAspect="1"/>
                    </pic:cNvPicPr>
                  </pic:nvPicPr>
                  <pic:blipFill>
                    <a:blip r:embed="rId6"/>
                    <a:stretch>
                      <a:fillRect/>
                    </a:stretch>
                  </pic:blipFill>
                  <pic:spPr>
                    <a:xfrm>
                      <a:off x="0" y="0"/>
                      <a:ext cx="5274310" cy="1373505"/>
                    </a:xfrm>
                    <a:prstGeom prst="rect">
                      <a:avLst/>
                    </a:prstGeom>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anchor distT="0" distB="0" distL="114300" distR="114300" simplePos="0" relativeHeight="251660288" behindDoc="1" locked="0" layoutInCell="1" allowOverlap="1">
            <wp:simplePos x="0" y="0"/>
            <wp:positionH relativeFrom="column">
              <wp:posOffset>96520</wp:posOffset>
            </wp:positionH>
            <wp:positionV relativeFrom="paragraph">
              <wp:posOffset>146050</wp:posOffset>
            </wp:positionV>
            <wp:extent cx="5262880" cy="2895600"/>
            <wp:effectExtent l="0" t="0" r="13970" b="0"/>
            <wp:wrapNone/>
            <wp:docPr id="6" name="图片 6" descr="1654156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4156793(1)"/>
                    <pic:cNvPicPr>
                      <a:picLocks noChangeAspect="1"/>
                    </pic:cNvPicPr>
                  </pic:nvPicPr>
                  <pic:blipFill>
                    <a:blip r:embed="rId7"/>
                    <a:stretch>
                      <a:fillRect/>
                    </a:stretch>
                  </pic:blipFill>
                  <pic:spPr>
                    <a:xfrm>
                      <a:off x="0" y="0"/>
                      <a:ext cx="5262880" cy="2895600"/>
                    </a:xfrm>
                    <a:prstGeom prst="rect">
                      <a:avLst/>
                    </a:prstGeom>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三、制作动态二维码</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lang w:eastAsia="zh-CN"/>
        </w:rPr>
      </w:pPr>
      <w:r>
        <w:rPr>
          <w:rFonts w:hint="eastAsia" w:ascii="仿宋_GB2312" w:hAnsi="仿宋_GB2312" w:eastAsia="仿宋_GB2312" w:cs="仿宋_GB2312"/>
          <w:sz w:val="32"/>
          <w:szCs w:val="32"/>
        </w:rPr>
        <w:drawing>
          <wp:inline distT="0" distB="0" distL="114300" distR="114300">
            <wp:extent cx="635" cy="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635" cy="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rFonts w:hint="eastAsia" w:ascii="仿宋_GB2312" w:hAnsi="仿宋_GB2312" w:eastAsia="仿宋_GB2312" w:cs="仿宋_GB2312"/>
          <w:sz w:val="32"/>
          <w:szCs w:val="32"/>
          <w:lang w:eastAsia="zh-CN"/>
        </w:rPr>
        <w:t>（一）点击“登录后台”，输入手机号及密码进入“工作台”。</w:t>
      </w: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pPr>
      <w:r>
        <w:rPr>
          <w:rFonts w:hint="eastAsia" w:eastAsiaTheme="minorEastAsia"/>
          <w:lang w:val="en-US" w:eastAsia="zh-CN"/>
        </w:rPr>
        <w:drawing>
          <wp:anchor distT="0" distB="0" distL="114300" distR="114300" simplePos="0" relativeHeight="251661312" behindDoc="1" locked="0" layoutInCell="1" allowOverlap="1">
            <wp:simplePos x="0" y="0"/>
            <wp:positionH relativeFrom="column">
              <wp:posOffset>95250</wp:posOffset>
            </wp:positionH>
            <wp:positionV relativeFrom="paragraph">
              <wp:posOffset>159385</wp:posOffset>
            </wp:positionV>
            <wp:extent cx="5261610" cy="1402080"/>
            <wp:effectExtent l="0" t="0" r="15240" b="7620"/>
            <wp:wrapNone/>
            <wp:docPr id="8" name="图片 8" descr="1654156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4156966(1)"/>
                    <pic:cNvPicPr>
                      <a:picLocks noChangeAspect="1"/>
                    </pic:cNvPicPr>
                  </pic:nvPicPr>
                  <pic:blipFill>
                    <a:blip r:embed="rId9"/>
                    <a:stretch>
                      <a:fillRect/>
                    </a:stretch>
                  </pic:blipFill>
                  <pic:spPr>
                    <a:xfrm>
                      <a:off x="0" y="0"/>
                      <a:ext cx="5261610" cy="1402080"/>
                    </a:xfrm>
                    <a:prstGeom prst="rect">
                      <a:avLst/>
                    </a:prstGeom>
                  </pic:spPr>
                </pic:pic>
              </a:graphicData>
            </a:graphic>
          </wp:anchor>
        </w:drawing>
      </w:r>
      <w:r>
        <w:drawing>
          <wp:inline distT="0" distB="0" distL="114300" distR="114300">
            <wp:extent cx="635" cy="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pP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pP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pP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（二）点击“二维码”→“活码”→“新建”→“空白建码”</w:t>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1" locked="0" layoutInCell="1" allowOverlap="1">
            <wp:simplePos x="0" y="0"/>
            <wp:positionH relativeFrom="column">
              <wp:posOffset>-93345</wp:posOffset>
            </wp:positionH>
            <wp:positionV relativeFrom="paragraph">
              <wp:posOffset>95885</wp:posOffset>
            </wp:positionV>
            <wp:extent cx="5734050" cy="1259840"/>
            <wp:effectExtent l="0" t="0" r="0" b="16510"/>
            <wp:wrapNone/>
            <wp:docPr id="11" name="图片 11" descr="1654157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4157676(1)"/>
                    <pic:cNvPicPr>
                      <a:picLocks noChangeAspect="1"/>
                    </pic:cNvPicPr>
                  </pic:nvPicPr>
                  <pic:blipFill>
                    <a:blip r:embed="rId10"/>
                    <a:stretch>
                      <a:fillRect/>
                    </a:stretch>
                  </pic:blipFill>
                  <pic:spPr>
                    <a:xfrm>
                      <a:off x="0" y="0"/>
                      <a:ext cx="5734050" cy="1259840"/>
                    </a:xfrm>
                    <a:prstGeom prst="rect">
                      <a:avLst/>
                    </a:prstGeom>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按照以下模板设计二维码内容，“输入标题”处输入经营者名称，“所属区划”输入县区名称，“法定许可证（件）涉及审批部门”输入市场主体已取得的许可证信息及发证机关，“法定许可证（件）清单”后插入审批结果电子版图片。</w:t>
      </w:r>
    </w:p>
    <w:p>
      <w:pPr>
        <w:keepNext w:val="0"/>
        <w:keepLines w:val="0"/>
        <w:pageBreakBefore w:val="0"/>
        <w:widowControl/>
        <w:kinsoku/>
        <w:wordWrap w:val="0"/>
        <w:overflowPunct/>
        <w:topLinePunct w:val="0"/>
        <w:autoSpaceDE/>
        <w:autoSpaceDN/>
        <w:bidi w:val="0"/>
        <w:adjustRightInd/>
        <w:snapToGrid/>
        <w:spacing w:line="560" w:lineRule="exact"/>
        <w:ind w:firstLine="420" w:firstLineChars="200"/>
        <w:jc w:val="both"/>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65408" behindDoc="1" locked="0" layoutInCell="1" allowOverlap="1">
            <wp:simplePos x="0" y="0"/>
            <wp:positionH relativeFrom="column">
              <wp:posOffset>1179195</wp:posOffset>
            </wp:positionH>
            <wp:positionV relativeFrom="paragraph">
              <wp:posOffset>77470</wp:posOffset>
            </wp:positionV>
            <wp:extent cx="3591560" cy="6254115"/>
            <wp:effectExtent l="0" t="0" r="8890" b="1333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3591560" cy="6254115"/>
                    </a:xfrm>
                    <a:prstGeom prst="rect">
                      <a:avLst/>
                    </a:prstGeom>
                    <a:noFill/>
                    <a:ln>
                      <a:noFill/>
                    </a:ln>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（四）点击“生成二维码”→</w:t>
      </w:r>
      <w:r>
        <w:rPr>
          <w:rFonts w:hint="eastAsia" w:ascii="仿宋_GB2312" w:hAnsi="仿宋_GB2312" w:eastAsia="仿宋_GB2312" w:cs="仿宋_GB2312"/>
          <w:sz w:val="32"/>
          <w:szCs w:val="32"/>
          <w:lang w:val="en-US" w:eastAsia="zh-CN"/>
        </w:rPr>
        <w:drawing>
          <wp:anchor distT="0" distB="0" distL="114300" distR="114300" simplePos="0" relativeHeight="251663360" behindDoc="1" locked="0" layoutInCell="1" allowOverlap="1">
            <wp:simplePos x="0" y="0"/>
            <wp:positionH relativeFrom="column">
              <wp:posOffset>422275</wp:posOffset>
            </wp:positionH>
            <wp:positionV relativeFrom="paragraph">
              <wp:posOffset>782955</wp:posOffset>
            </wp:positionV>
            <wp:extent cx="5269230" cy="1731010"/>
            <wp:effectExtent l="0" t="0" r="7620" b="2540"/>
            <wp:wrapNone/>
            <wp:docPr id="13" name="图片 13" descr="165415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4158163(1)"/>
                    <pic:cNvPicPr>
                      <a:picLocks noChangeAspect="1"/>
                    </pic:cNvPicPr>
                  </pic:nvPicPr>
                  <pic:blipFill>
                    <a:blip r:embed="rId12"/>
                    <a:stretch>
                      <a:fillRect/>
                    </a:stretch>
                  </pic:blipFill>
                  <pic:spPr>
                    <a:xfrm>
                      <a:off x="0" y="0"/>
                      <a:ext cx="5269230" cy="1731010"/>
                    </a:xfrm>
                    <a:prstGeom prst="rect">
                      <a:avLst/>
                    </a:prstGeom>
                  </pic:spPr>
                </pic:pic>
              </a:graphicData>
            </a:graphic>
          </wp:anchor>
        </w:drawing>
      </w:r>
      <w:r>
        <w:rPr>
          <w:rFonts w:hint="eastAsia" w:ascii="仿宋_GB2312" w:hAnsi="仿宋_GB2312" w:eastAsia="仿宋_GB2312" w:cs="仿宋_GB2312"/>
          <w:sz w:val="32"/>
          <w:szCs w:val="32"/>
          <w:lang w:val="en-US" w:eastAsia="zh-CN"/>
        </w:rPr>
        <w:t>“下载打印”即可生成二维码图片。</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4384" behindDoc="1" locked="0" layoutInCell="1" allowOverlap="1">
            <wp:simplePos x="0" y="0"/>
            <wp:positionH relativeFrom="column">
              <wp:posOffset>469265</wp:posOffset>
            </wp:positionH>
            <wp:positionV relativeFrom="paragraph">
              <wp:posOffset>195580</wp:posOffset>
            </wp:positionV>
            <wp:extent cx="4333875" cy="2324100"/>
            <wp:effectExtent l="0" t="0" r="9525" b="0"/>
            <wp:wrapNone/>
            <wp:docPr id="14" name="图片 14" descr="165415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4158313"/>
                    <pic:cNvPicPr>
                      <a:picLocks noChangeAspect="1"/>
                    </pic:cNvPicPr>
                  </pic:nvPicPr>
                  <pic:blipFill>
                    <a:blip r:embed="rId13"/>
                    <a:stretch>
                      <a:fillRect/>
                    </a:stretch>
                  </pic:blipFill>
                  <pic:spPr>
                    <a:xfrm>
                      <a:off x="0" y="0"/>
                      <a:ext cx="4333875" cy="2324100"/>
                    </a:xfrm>
                    <a:prstGeom prst="rect">
                      <a:avLst/>
                    </a:prstGeom>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sectPr>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柳州市“一业一证”行业目录模板</w:t>
      </w:r>
    </w:p>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sz w:val="32"/>
          <w:szCs w:val="32"/>
          <w:lang w:val="en-US" w:eastAsia="zh-CN"/>
        </w:rPr>
      </w:pP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2372"/>
        <w:gridCol w:w="2866"/>
        <w:gridCol w:w="2024"/>
        <w:gridCol w:w="2029"/>
        <w:gridCol w:w="2024"/>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91" w:type="pct"/>
            <w:vMerge w:val="restart"/>
          </w:tcPr>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序号</w:t>
            </w:r>
          </w:p>
        </w:tc>
        <w:tc>
          <w:tcPr>
            <w:tcW w:w="837" w:type="pct"/>
            <w:vMerge w:val="restart"/>
          </w:tcPr>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行业名称</w:t>
            </w:r>
          </w:p>
        </w:tc>
        <w:tc>
          <w:tcPr>
            <w:tcW w:w="1011" w:type="pct"/>
            <w:vMerge w:val="restart"/>
          </w:tcPr>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许可事项名称</w:t>
            </w:r>
          </w:p>
        </w:tc>
        <w:tc>
          <w:tcPr>
            <w:tcW w:w="1430" w:type="pct"/>
            <w:gridSpan w:val="2"/>
          </w:tcPr>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审批时限</w:t>
            </w:r>
          </w:p>
        </w:tc>
        <w:tc>
          <w:tcPr>
            <w:tcW w:w="714" w:type="pct"/>
            <w:vMerge w:val="restart"/>
          </w:tcPr>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审批部门</w:t>
            </w:r>
          </w:p>
        </w:tc>
        <w:tc>
          <w:tcPr>
            <w:tcW w:w="714" w:type="pct"/>
            <w:vMerge w:val="restart"/>
          </w:tcPr>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eastAsia" w:ascii="仿宋_GB2312" w:hAnsi="仿宋_GB2312" w:eastAsia="仿宋_GB2312" w:cs="仿宋_GB2312"/>
                <w:sz w:val="22"/>
                <w:szCs w:val="22"/>
                <w:vertAlign w:val="baseline"/>
                <w:lang w:val="en-US" w:eastAsia="zh-CN"/>
              </w:rPr>
            </w:pPr>
          </w:p>
          <w:p>
            <w:pPr>
              <w:keepNext w:val="0"/>
              <w:keepLines w:val="0"/>
              <w:pageBreakBefore w:val="0"/>
              <w:widowControl/>
              <w:kinsoku/>
              <w:wordWrap w:val="0"/>
              <w:overflowPunct/>
              <w:topLinePunct w:val="0"/>
              <w:autoSpaceDE/>
              <w:autoSpaceDN/>
              <w:bidi w:val="0"/>
              <w:adjustRightInd/>
              <w:snapToGrid/>
              <w:spacing w:line="24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22"/>
                <w:szCs w:val="22"/>
                <w:vertAlign w:val="baseline"/>
                <w:lang w:val="en-US" w:eastAsia="zh-CN"/>
              </w:rPr>
            </w:pPr>
          </w:p>
        </w:tc>
        <w:tc>
          <w:tcPr>
            <w:tcW w:w="837" w:type="pct"/>
            <w:vMerge w:val="continue"/>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22"/>
                <w:szCs w:val="22"/>
                <w:vertAlign w:val="baseline"/>
                <w:lang w:val="en-US" w:eastAsia="zh-CN"/>
              </w:rPr>
            </w:pPr>
          </w:p>
        </w:tc>
        <w:tc>
          <w:tcPr>
            <w:tcW w:w="1011" w:type="pct"/>
            <w:vMerge w:val="continue"/>
          </w:tcPr>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default" w:ascii="仿宋_GB2312" w:hAnsi="仿宋_GB2312" w:eastAsia="仿宋_GB2312" w:cs="仿宋_GB2312"/>
                <w:sz w:val="22"/>
                <w:szCs w:val="2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现审批时限</w:t>
            </w: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center"/>
              <w:textAlignment w:val="auto"/>
              <w:outlineLvl w:val="9"/>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改革后审批时限</w:t>
            </w:r>
          </w:p>
        </w:tc>
        <w:tc>
          <w:tcPr>
            <w:tcW w:w="714" w:type="pct"/>
            <w:vMerge w:val="continue"/>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22"/>
                <w:szCs w:val="22"/>
                <w:vertAlign w:val="baseline"/>
                <w:lang w:val="en-US" w:eastAsia="zh-CN"/>
              </w:rPr>
            </w:pPr>
          </w:p>
        </w:tc>
        <w:tc>
          <w:tcPr>
            <w:tcW w:w="714" w:type="pct"/>
            <w:vMerge w:val="continue"/>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837"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101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837"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101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837"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101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837"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101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837"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1011"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5"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c>
          <w:tcPr>
            <w:tcW w:w="714" w:type="pct"/>
          </w:tcPr>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vertAlign w:val="baseline"/>
                <w:lang w:val="en-US" w:eastAsia="zh-CN"/>
              </w:rPr>
            </w:pPr>
          </w:p>
        </w:tc>
      </w:tr>
    </w:tbl>
    <w:p>
      <w:pPr>
        <w:keepNext w:val="0"/>
        <w:keepLines w:val="0"/>
        <w:pageBreakBefore w:val="0"/>
        <w:widowControl/>
        <w:kinsoku/>
        <w:wordWrap w:val="0"/>
        <w:overflowPunct/>
        <w:topLinePunct w:val="0"/>
        <w:autoSpaceDE/>
        <w:autoSpaceDN/>
        <w:bidi w:val="0"/>
        <w:adjustRightInd/>
        <w:snapToGrid/>
        <w:spacing w:line="560" w:lineRule="exact"/>
        <w:jc w:val="both"/>
        <w:textAlignment w:val="auto"/>
        <w:outlineLvl w:val="9"/>
        <w:rPr>
          <w:rFonts w:hint="default" w:ascii="仿宋_GB2312" w:hAnsi="仿宋_GB2312" w:eastAsia="仿宋_GB2312" w:cs="仿宋_GB2312"/>
          <w:sz w:val="32"/>
          <w:szCs w:val="32"/>
          <w:lang w:val="en-US" w:eastAsia="zh-CN"/>
        </w:rPr>
      </w:pPr>
    </w:p>
    <w:sectPr>
      <w:pgSz w:w="16838" w:h="11906" w:orient="landscape"/>
      <w:pgMar w:top="1800" w:right="1440" w:bottom="1800" w:left="144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27D5B"/>
    <w:multiLevelType w:val="multilevel"/>
    <w:tmpl w:val="22827D5B"/>
    <w:lvl w:ilvl="0" w:tentative="0">
      <w:start w:val="1"/>
      <w:numFmt w:val="none"/>
      <w:pStyle w:val="1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WU0ZTA2OGYyZGY4ZjY1ODU5ZmIwNDg3MjE5OTcifQ=="/>
  </w:docVars>
  <w:rsids>
    <w:rsidRoot w:val="5EC9242D"/>
    <w:rsid w:val="000B534C"/>
    <w:rsid w:val="01556157"/>
    <w:rsid w:val="02D342F7"/>
    <w:rsid w:val="03343C15"/>
    <w:rsid w:val="036C6332"/>
    <w:rsid w:val="037474BD"/>
    <w:rsid w:val="04046F0A"/>
    <w:rsid w:val="04212517"/>
    <w:rsid w:val="044031CE"/>
    <w:rsid w:val="04986A1A"/>
    <w:rsid w:val="055F21C2"/>
    <w:rsid w:val="057657B9"/>
    <w:rsid w:val="05FA0B99"/>
    <w:rsid w:val="063A3C2B"/>
    <w:rsid w:val="06607F37"/>
    <w:rsid w:val="070879DF"/>
    <w:rsid w:val="07BE007D"/>
    <w:rsid w:val="08287487"/>
    <w:rsid w:val="08F44ADB"/>
    <w:rsid w:val="09B44716"/>
    <w:rsid w:val="0AB100FE"/>
    <w:rsid w:val="0B055D5B"/>
    <w:rsid w:val="0B343421"/>
    <w:rsid w:val="0BE054B2"/>
    <w:rsid w:val="0BE669AA"/>
    <w:rsid w:val="0D0E01E4"/>
    <w:rsid w:val="0DAF693D"/>
    <w:rsid w:val="0F53A557"/>
    <w:rsid w:val="0F5F5CA1"/>
    <w:rsid w:val="0F6739CC"/>
    <w:rsid w:val="113E0119"/>
    <w:rsid w:val="11CC7BF5"/>
    <w:rsid w:val="1251782D"/>
    <w:rsid w:val="13BF9BB2"/>
    <w:rsid w:val="157F2733"/>
    <w:rsid w:val="163C048F"/>
    <w:rsid w:val="164373BC"/>
    <w:rsid w:val="16931028"/>
    <w:rsid w:val="16B31B3B"/>
    <w:rsid w:val="16C33D1E"/>
    <w:rsid w:val="174A09F0"/>
    <w:rsid w:val="17894D64"/>
    <w:rsid w:val="17EB03FF"/>
    <w:rsid w:val="18543A3D"/>
    <w:rsid w:val="188A661C"/>
    <w:rsid w:val="18CE7AC9"/>
    <w:rsid w:val="1A3266DF"/>
    <w:rsid w:val="1A8765C3"/>
    <w:rsid w:val="1ACF642C"/>
    <w:rsid w:val="1ADB6DF3"/>
    <w:rsid w:val="1B633DA2"/>
    <w:rsid w:val="1BF70865"/>
    <w:rsid w:val="1C08246D"/>
    <w:rsid w:val="1C2D4465"/>
    <w:rsid w:val="1C4C7424"/>
    <w:rsid w:val="1C54737D"/>
    <w:rsid w:val="1DB11549"/>
    <w:rsid w:val="1DB458E6"/>
    <w:rsid w:val="1DF707F8"/>
    <w:rsid w:val="1EC43159"/>
    <w:rsid w:val="1ED76C33"/>
    <w:rsid w:val="1EFB75D9"/>
    <w:rsid w:val="1F3F2805"/>
    <w:rsid w:val="1F5E3FE6"/>
    <w:rsid w:val="1FBF6640"/>
    <w:rsid w:val="1FBF937F"/>
    <w:rsid w:val="1FFF7365"/>
    <w:rsid w:val="20240861"/>
    <w:rsid w:val="21876503"/>
    <w:rsid w:val="229914F9"/>
    <w:rsid w:val="22BF4F15"/>
    <w:rsid w:val="22D20A3A"/>
    <w:rsid w:val="22E5392F"/>
    <w:rsid w:val="22EF5136"/>
    <w:rsid w:val="22F60262"/>
    <w:rsid w:val="23A72D1A"/>
    <w:rsid w:val="23BFF7EA"/>
    <w:rsid w:val="24FD4C8D"/>
    <w:rsid w:val="251D10E5"/>
    <w:rsid w:val="257A1E57"/>
    <w:rsid w:val="266B40F4"/>
    <w:rsid w:val="26963F04"/>
    <w:rsid w:val="26BC6453"/>
    <w:rsid w:val="26C64400"/>
    <w:rsid w:val="281F687C"/>
    <w:rsid w:val="28AB74B0"/>
    <w:rsid w:val="295FBC7F"/>
    <w:rsid w:val="29793D4E"/>
    <w:rsid w:val="29A92467"/>
    <w:rsid w:val="29BD3F03"/>
    <w:rsid w:val="2A20564D"/>
    <w:rsid w:val="2A6A5448"/>
    <w:rsid w:val="2AF5102E"/>
    <w:rsid w:val="2AFF594A"/>
    <w:rsid w:val="2B08620C"/>
    <w:rsid w:val="2B6C618A"/>
    <w:rsid w:val="2C6714E4"/>
    <w:rsid w:val="2D9D7593"/>
    <w:rsid w:val="2EEF6BE3"/>
    <w:rsid w:val="2F7E504D"/>
    <w:rsid w:val="2FF1B817"/>
    <w:rsid w:val="310501AD"/>
    <w:rsid w:val="31371B7B"/>
    <w:rsid w:val="32B13A5F"/>
    <w:rsid w:val="32C6307E"/>
    <w:rsid w:val="336E2F66"/>
    <w:rsid w:val="33E74654"/>
    <w:rsid w:val="34192013"/>
    <w:rsid w:val="341E52E0"/>
    <w:rsid w:val="3485623C"/>
    <w:rsid w:val="34A653F2"/>
    <w:rsid w:val="35564870"/>
    <w:rsid w:val="36926FA8"/>
    <w:rsid w:val="36BDA26B"/>
    <w:rsid w:val="370F3D8D"/>
    <w:rsid w:val="377E111B"/>
    <w:rsid w:val="379ED64A"/>
    <w:rsid w:val="37A929B5"/>
    <w:rsid w:val="37B70D70"/>
    <w:rsid w:val="38184029"/>
    <w:rsid w:val="39333887"/>
    <w:rsid w:val="39FF9150"/>
    <w:rsid w:val="3AD07E17"/>
    <w:rsid w:val="3B352B9D"/>
    <w:rsid w:val="3DD36466"/>
    <w:rsid w:val="3DDAA0DF"/>
    <w:rsid w:val="3DE00F04"/>
    <w:rsid w:val="3E507983"/>
    <w:rsid w:val="3E7D8974"/>
    <w:rsid w:val="3F6B5E4F"/>
    <w:rsid w:val="3F7B7660"/>
    <w:rsid w:val="3FB7101D"/>
    <w:rsid w:val="3FBF22AD"/>
    <w:rsid w:val="3FD777AB"/>
    <w:rsid w:val="3FEE3DF9"/>
    <w:rsid w:val="3FF3E62F"/>
    <w:rsid w:val="3FF5512E"/>
    <w:rsid w:val="3FFF3993"/>
    <w:rsid w:val="3FFF5075"/>
    <w:rsid w:val="404A71C2"/>
    <w:rsid w:val="40BB414F"/>
    <w:rsid w:val="40F407F7"/>
    <w:rsid w:val="40FF733F"/>
    <w:rsid w:val="41287BB3"/>
    <w:rsid w:val="41492356"/>
    <w:rsid w:val="4189609D"/>
    <w:rsid w:val="42310E70"/>
    <w:rsid w:val="42A46F5C"/>
    <w:rsid w:val="45516726"/>
    <w:rsid w:val="45AB5409"/>
    <w:rsid w:val="462564D4"/>
    <w:rsid w:val="46D34A3C"/>
    <w:rsid w:val="471F2E35"/>
    <w:rsid w:val="475950F1"/>
    <w:rsid w:val="475F54E4"/>
    <w:rsid w:val="477FF5E3"/>
    <w:rsid w:val="47B8502A"/>
    <w:rsid w:val="481F7317"/>
    <w:rsid w:val="48287B7E"/>
    <w:rsid w:val="48A64365"/>
    <w:rsid w:val="48D567ED"/>
    <w:rsid w:val="48F3082B"/>
    <w:rsid w:val="49540504"/>
    <w:rsid w:val="49A10911"/>
    <w:rsid w:val="49E42BBB"/>
    <w:rsid w:val="4AF03E8E"/>
    <w:rsid w:val="4BA37DC5"/>
    <w:rsid w:val="4CE73006"/>
    <w:rsid w:val="4D9469BE"/>
    <w:rsid w:val="4DF5790A"/>
    <w:rsid w:val="4DF70B3F"/>
    <w:rsid w:val="4DFE3005"/>
    <w:rsid w:val="4ED72BDE"/>
    <w:rsid w:val="4EE32812"/>
    <w:rsid w:val="4EE524A4"/>
    <w:rsid w:val="4F53584E"/>
    <w:rsid w:val="4F6F6DBB"/>
    <w:rsid w:val="4F7F7BFA"/>
    <w:rsid w:val="4FDF43D4"/>
    <w:rsid w:val="4FFE22E8"/>
    <w:rsid w:val="5097DB68"/>
    <w:rsid w:val="515952C4"/>
    <w:rsid w:val="51EB05AD"/>
    <w:rsid w:val="52645DA5"/>
    <w:rsid w:val="53A451A2"/>
    <w:rsid w:val="53FFF6DC"/>
    <w:rsid w:val="546F3AD3"/>
    <w:rsid w:val="550D79ED"/>
    <w:rsid w:val="557F1A3E"/>
    <w:rsid w:val="56182458"/>
    <w:rsid w:val="56FA334F"/>
    <w:rsid w:val="574EE13B"/>
    <w:rsid w:val="57B46719"/>
    <w:rsid w:val="57DF22C2"/>
    <w:rsid w:val="5838610A"/>
    <w:rsid w:val="58FC05E9"/>
    <w:rsid w:val="595E5633"/>
    <w:rsid w:val="59674AFC"/>
    <w:rsid w:val="5998713C"/>
    <w:rsid w:val="5ACA7B36"/>
    <w:rsid w:val="5B5E46A3"/>
    <w:rsid w:val="5B8031EC"/>
    <w:rsid w:val="5B9A1948"/>
    <w:rsid w:val="5BEF5CFF"/>
    <w:rsid w:val="5C772A28"/>
    <w:rsid w:val="5CEF52B2"/>
    <w:rsid w:val="5D354996"/>
    <w:rsid w:val="5D593D02"/>
    <w:rsid w:val="5E054B47"/>
    <w:rsid w:val="5E0B1537"/>
    <w:rsid w:val="5EC9242D"/>
    <w:rsid w:val="5F3FAF46"/>
    <w:rsid w:val="5FA8F279"/>
    <w:rsid w:val="5FAFC316"/>
    <w:rsid w:val="5FEFD308"/>
    <w:rsid w:val="5FFF50F1"/>
    <w:rsid w:val="60759ABE"/>
    <w:rsid w:val="60A47149"/>
    <w:rsid w:val="60EA7638"/>
    <w:rsid w:val="60ED19F8"/>
    <w:rsid w:val="612555CF"/>
    <w:rsid w:val="621C4AD3"/>
    <w:rsid w:val="63B317DF"/>
    <w:rsid w:val="63E4681D"/>
    <w:rsid w:val="63FC5FD5"/>
    <w:rsid w:val="64264E79"/>
    <w:rsid w:val="647B5609"/>
    <w:rsid w:val="6546B727"/>
    <w:rsid w:val="65DF2020"/>
    <w:rsid w:val="675755DB"/>
    <w:rsid w:val="67895BD4"/>
    <w:rsid w:val="679F9DA4"/>
    <w:rsid w:val="67B68ADC"/>
    <w:rsid w:val="67ED1E97"/>
    <w:rsid w:val="67EF5B00"/>
    <w:rsid w:val="67F65BEC"/>
    <w:rsid w:val="69C6073A"/>
    <w:rsid w:val="69D07516"/>
    <w:rsid w:val="6A2B18F3"/>
    <w:rsid w:val="6A4B322E"/>
    <w:rsid w:val="6A98350B"/>
    <w:rsid w:val="6AED777A"/>
    <w:rsid w:val="6B5EC47A"/>
    <w:rsid w:val="6B7B5139"/>
    <w:rsid w:val="6B982F93"/>
    <w:rsid w:val="6BA73FA6"/>
    <w:rsid w:val="6BD157EF"/>
    <w:rsid w:val="6BDF8EBD"/>
    <w:rsid w:val="6BFD438F"/>
    <w:rsid w:val="6BFF7B6B"/>
    <w:rsid w:val="6CAC3E5D"/>
    <w:rsid w:val="6CB319F4"/>
    <w:rsid w:val="6D6A7E6A"/>
    <w:rsid w:val="6DEBB2BF"/>
    <w:rsid w:val="6EF5C96E"/>
    <w:rsid w:val="6F27765A"/>
    <w:rsid w:val="6F495AFE"/>
    <w:rsid w:val="6FDB3BA8"/>
    <w:rsid w:val="6FFB5A95"/>
    <w:rsid w:val="71174061"/>
    <w:rsid w:val="71234431"/>
    <w:rsid w:val="717942F1"/>
    <w:rsid w:val="71A86C91"/>
    <w:rsid w:val="71B2150C"/>
    <w:rsid w:val="72A91F16"/>
    <w:rsid w:val="72FE3052"/>
    <w:rsid w:val="730330A6"/>
    <w:rsid w:val="736E131E"/>
    <w:rsid w:val="737F6304"/>
    <w:rsid w:val="739C579E"/>
    <w:rsid w:val="73BB01CF"/>
    <w:rsid w:val="73C54802"/>
    <w:rsid w:val="73F52A6D"/>
    <w:rsid w:val="743FB16A"/>
    <w:rsid w:val="74885CFF"/>
    <w:rsid w:val="74BFCF68"/>
    <w:rsid w:val="74DC3A97"/>
    <w:rsid w:val="74F83588"/>
    <w:rsid w:val="75556682"/>
    <w:rsid w:val="757F533D"/>
    <w:rsid w:val="75ED5D32"/>
    <w:rsid w:val="75FEF3FA"/>
    <w:rsid w:val="767755A1"/>
    <w:rsid w:val="76BE79C1"/>
    <w:rsid w:val="774133B7"/>
    <w:rsid w:val="777EB673"/>
    <w:rsid w:val="77E42627"/>
    <w:rsid w:val="77EDD9E1"/>
    <w:rsid w:val="77EF261D"/>
    <w:rsid w:val="77FEB97E"/>
    <w:rsid w:val="780126CE"/>
    <w:rsid w:val="780C2DA7"/>
    <w:rsid w:val="780D0085"/>
    <w:rsid w:val="787E65CD"/>
    <w:rsid w:val="78D80D07"/>
    <w:rsid w:val="797A8F87"/>
    <w:rsid w:val="798E5FE9"/>
    <w:rsid w:val="79B7FBF8"/>
    <w:rsid w:val="79FC02EC"/>
    <w:rsid w:val="7A76FB1B"/>
    <w:rsid w:val="7ABF99F0"/>
    <w:rsid w:val="7AF666E8"/>
    <w:rsid w:val="7B7D29AB"/>
    <w:rsid w:val="7B7E2E70"/>
    <w:rsid w:val="7BBF33CA"/>
    <w:rsid w:val="7BD22FE8"/>
    <w:rsid w:val="7BED401C"/>
    <w:rsid w:val="7BFF66F7"/>
    <w:rsid w:val="7C7FA6EE"/>
    <w:rsid w:val="7CA042B5"/>
    <w:rsid w:val="7CAE6CCD"/>
    <w:rsid w:val="7CE70CE5"/>
    <w:rsid w:val="7D9AEC40"/>
    <w:rsid w:val="7DF5A668"/>
    <w:rsid w:val="7DF611E2"/>
    <w:rsid w:val="7DFF4B59"/>
    <w:rsid w:val="7DFFB872"/>
    <w:rsid w:val="7E321F1B"/>
    <w:rsid w:val="7EBE3797"/>
    <w:rsid w:val="7EEDBAAE"/>
    <w:rsid w:val="7EF71DF8"/>
    <w:rsid w:val="7EFB1DC1"/>
    <w:rsid w:val="7EFF08D2"/>
    <w:rsid w:val="7EFF4F07"/>
    <w:rsid w:val="7F4DD414"/>
    <w:rsid w:val="7F538464"/>
    <w:rsid w:val="7F5FA3E0"/>
    <w:rsid w:val="7F7F2FAF"/>
    <w:rsid w:val="7FA769AB"/>
    <w:rsid w:val="7FCF328F"/>
    <w:rsid w:val="7FFF1F4B"/>
    <w:rsid w:val="7FFF5A79"/>
    <w:rsid w:val="8B2F446A"/>
    <w:rsid w:val="8D76F3E7"/>
    <w:rsid w:val="9BFFFB0F"/>
    <w:rsid w:val="9D4B5CFF"/>
    <w:rsid w:val="9F5F580C"/>
    <w:rsid w:val="A7EB56F0"/>
    <w:rsid w:val="AFDFC927"/>
    <w:rsid w:val="B6F746EB"/>
    <w:rsid w:val="B7FDC13C"/>
    <w:rsid w:val="B9EF0AC5"/>
    <w:rsid w:val="BA7B23C6"/>
    <w:rsid w:val="BAFEBB14"/>
    <w:rsid w:val="BBFA0071"/>
    <w:rsid w:val="BCDDE964"/>
    <w:rsid w:val="BCF625C2"/>
    <w:rsid w:val="BF3D8893"/>
    <w:rsid w:val="BFAB684F"/>
    <w:rsid w:val="BFB431C5"/>
    <w:rsid w:val="BFDBB53C"/>
    <w:rsid w:val="C76BF507"/>
    <w:rsid w:val="CDFFD138"/>
    <w:rsid w:val="CE3AEE79"/>
    <w:rsid w:val="D27E5C6E"/>
    <w:rsid w:val="D7F67DCD"/>
    <w:rsid w:val="DABB63B8"/>
    <w:rsid w:val="DBA27CC6"/>
    <w:rsid w:val="DBFD4D9C"/>
    <w:rsid w:val="DDDDD20C"/>
    <w:rsid w:val="DDF41568"/>
    <w:rsid w:val="DE7D32C6"/>
    <w:rsid w:val="DEBB24CE"/>
    <w:rsid w:val="DEF79EFC"/>
    <w:rsid w:val="DFBF531D"/>
    <w:rsid w:val="DFDFB88B"/>
    <w:rsid w:val="DFFF14AD"/>
    <w:rsid w:val="E2DF4C9B"/>
    <w:rsid w:val="E36F0F2D"/>
    <w:rsid w:val="E5CDF61A"/>
    <w:rsid w:val="E6AEBA78"/>
    <w:rsid w:val="E6BDAF6A"/>
    <w:rsid w:val="E6FA1AE7"/>
    <w:rsid w:val="E7FA11EC"/>
    <w:rsid w:val="E7FB56B5"/>
    <w:rsid w:val="E7FD1D0B"/>
    <w:rsid w:val="EB319D03"/>
    <w:rsid w:val="ECEBAFB6"/>
    <w:rsid w:val="ED7B28DF"/>
    <w:rsid w:val="EDF346BB"/>
    <w:rsid w:val="EF3FFCAF"/>
    <w:rsid w:val="EFECD2F7"/>
    <w:rsid w:val="EFF793CC"/>
    <w:rsid w:val="EFFE3E89"/>
    <w:rsid w:val="EFFF7C78"/>
    <w:rsid w:val="F1FF7C25"/>
    <w:rsid w:val="F2FF9A8E"/>
    <w:rsid w:val="F3DBC738"/>
    <w:rsid w:val="F4FE1777"/>
    <w:rsid w:val="F5653CF0"/>
    <w:rsid w:val="F5E52D3E"/>
    <w:rsid w:val="F6CD4FC4"/>
    <w:rsid w:val="F6D7958B"/>
    <w:rsid w:val="F6FF7E1A"/>
    <w:rsid w:val="F74FACA5"/>
    <w:rsid w:val="F77702BF"/>
    <w:rsid w:val="F77F33A8"/>
    <w:rsid w:val="F79FBF95"/>
    <w:rsid w:val="F7B55FB2"/>
    <w:rsid w:val="F7DE9875"/>
    <w:rsid w:val="F7F9F409"/>
    <w:rsid w:val="F84B3326"/>
    <w:rsid w:val="F9377694"/>
    <w:rsid w:val="F9F7B98B"/>
    <w:rsid w:val="F9F9074B"/>
    <w:rsid w:val="FA7D5CBE"/>
    <w:rsid w:val="FA9F4F3D"/>
    <w:rsid w:val="FAFF2C26"/>
    <w:rsid w:val="FAFF9E95"/>
    <w:rsid w:val="FB6D812C"/>
    <w:rsid w:val="FB6E079A"/>
    <w:rsid w:val="FBC7056F"/>
    <w:rsid w:val="FBEDD901"/>
    <w:rsid w:val="FD338641"/>
    <w:rsid w:val="FD4747F4"/>
    <w:rsid w:val="FDBF6021"/>
    <w:rsid w:val="FDF5A5EB"/>
    <w:rsid w:val="FDF660DF"/>
    <w:rsid w:val="FDFF8550"/>
    <w:rsid w:val="FE0D7AD9"/>
    <w:rsid w:val="FE734873"/>
    <w:rsid w:val="FF0306B0"/>
    <w:rsid w:val="FF3BE6EF"/>
    <w:rsid w:val="FF7DF767"/>
    <w:rsid w:val="FF95EB1F"/>
    <w:rsid w:val="FF9F167F"/>
    <w:rsid w:val="FFA52DD9"/>
    <w:rsid w:val="FFAF3268"/>
    <w:rsid w:val="FFBC71B7"/>
    <w:rsid w:val="FFBF68AD"/>
    <w:rsid w:val="FFBFA94C"/>
    <w:rsid w:val="FFC9381E"/>
    <w:rsid w:val="FFDB5D19"/>
    <w:rsid w:val="FFDF1559"/>
    <w:rsid w:val="FFF241DD"/>
    <w:rsid w:val="FFF62F09"/>
    <w:rsid w:val="FFFF5641"/>
    <w:rsid w:val="FFFF73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3"/>
    <w:basedOn w:val="1"/>
    <w:next w:val="1"/>
    <w:qFormat/>
    <w:uiPriority w:val="9"/>
    <w:pPr>
      <w:spacing w:before="100" w:beforeAutospacing="1" w:after="100" w:afterAutospacing="1"/>
      <w:jc w:val="left"/>
      <w:outlineLvl w:val="2"/>
    </w:pPr>
    <w:rPr>
      <w:rFonts w:ascii="宋体" w:hAnsi="宋体"/>
      <w:b/>
      <w:kern w:val="0"/>
      <w:sz w:val="27"/>
      <w:szCs w:val="27"/>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FollowedHyperlink"/>
    <w:basedOn w:val="9"/>
    <w:qFormat/>
    <w:uiPriority w:val="0"/>
    <w:rPr>
      <w:color w:val="800080"/>
      <w:u w:val="single"/>
    </w:rPr>
  </w:style>
  <w:style w:type="character" w:styleId="12">
    <w:name w:val="Hyperlink"/>
    <w:basedOn w:val="9"/>
    <w:qFormat/>
    <w:uiPriority w:val="0"/>
    <w:rPr>
      <w:color w:val="0000FF"/>
      <w:u w:val="single"/>
    </w:rPr>
  </w:style>
  <w:style w:type="paragraph" w:customStyle="1" w:styleId="13">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4">
    <w:name w:val="注：（正文）"/>
    <w:basedOn w:val="1"/>
    <w:next w:val="1"/>
    <w:qFormat/>
    <w:uiPriority w:val="0"/>
    <w:pPr>
      <w:numPr>
        <w:ilvl w:val="0"/>
        <w:numId w:val="1"/>
      </w:numPr>
      <w:autoSpaceDE w:val="0"/>
      <w:autoSpaceDN w:val="0"/>
    </w:pPr>
    <w:rPr>
      <w:rFonts w:ascii="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NUL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4764</Words>
  <Characters>4964</Characters>
  <Lines>0</Lines>
  <Paragraphs>0</Paragraphs>
  <TotalTime>3</TotalTime>
  <ScaleCrop>false</ScaleCrop>
  <LinksUpToDate>false</LinksUpToDate>
  <CharactersWithSpaces>5058</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2021-11-11T02:31:00Z</dcterms:created>
  <dc:creator>小企鹅阿南</dc:creator>
  <cp:lastModifiedBy>章嘉元</cp:lastModifiedBy>
  <dcterms:modified xsi:type="dcterms:W3CDTF">2022-09-26T08:11:02Z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B23B3170AC3A4576B9809BE202C6C061</vt:lpwstr>
  </property>
  <property fmtid="{D5CDD505-2E9C-101B-9397-08002B2CF9AE}" pid="4" name="commondata">
    <vt:lpwstr>eyJoZGlkIjoiYjhhYmM4ODE5M2YyOTU1MTEzYzk0Yzc0Y2JkNTgwYjIifQ==</vt:lpwstr>
  </property>
</Properties>
</file>