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distribute"/>
        <w:rPr>
          <w:rFonts w:ascii="Times New Roman" w:hAnsi="Times New Roman" w:eastAsia="方正小标宋简体"/>
          <w:b/>
          <w:color w:val="FF0000"/>
          <w:spacing w:val="-8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eastAsia="方正小标宋简体"/>
          <w:b/>
          <w:color w:val="FF0000"/>
          <w:spacing w:val="-8"/>
          <w:sz w:val="52"/>
          <w:szCs w:val="52"/>
        </w:rPr>
        <w:t>柳州市</w:t>
      </w:r>
      <w:r>
        <w:rPr>
          <w:rFonts w:hint="eastAsia" w:ascii="Times New Roman" w:hAnsi="Times New Roman" w:eastAsia="方正小标宋简体"/>
          <w:b/>
          <w:color w:val="FF0000"/>
          <w:spacing w:val="-8"/>
          <w:sz w:val="52"/>
          <w:szCs w:val="52"/>
          <w:lang w:eastAsia="zh-CN"/>
        </w:rPr>
        <w:t>行政审批局</w:t>
      </w:r>
      <w:r>
        <w:rPr>
          <w:rFonts w:ascii="Times New Roman" w:hAnsi="Times New Roman" w:eastAsia="方正小标宋简体"/>
          <w:b/>
          <w:color w:val="FF0000"/>
          <w:spacing w:val="-8"/>
          <w:sz w:val="52"/>
          <w:szCs w:val="52"/>
        </w:rPr>
        <w:t>文件</w:t>
      </w:r>
    </w:p>
    <w:p>
      <w:pPr>
        <w:pStyle w:val="2"/>
        <w:spacing w:line="600" w:lineRule="exact"/>
        <w:ind w:firstLine="643"/>
        <w:rPr>
          <w:rFonts w:ascii="Times New Roman" w:hAnsi="Times New Roman"/>
          <w:b/>
          <w:bCs/>
          <w:color w:val="FF0000"/>
        </w:rPr>
      </w:pPr>
    </w:p>
    <w:p>
      <w:pPr>
        <w:pStyle w:val="2"/>
        <w:spacing w:line="600" w:lineRule="exact"/>
        <w:ind w:firstLine="643"/>
        <w:rPr>
          <w:rFonts w:ascii="Times New Roman" w:hAnsi="Times New Roman"/>
          <w:b/>
          <w:bCs/>
          <w:color w:val="FF0000"/>
        </w:rPr>
      </w:pPr>
    </w:p>
    <w:p>
      <w:pPr>
        <w:pStyle w:val="2"/>
        <w:spacing w:line="600" w:lineRule="exact"/>
        <w:ind w:firstLine="643"/>
        <w:jc w:val="center"/>
        <w:rPr>
          <w:rFonts w:ascii="Times New Roman" w:hAnsi="Times New Roman"/>
          <w:b/>
          <w:bCs/>
        </w:rPr>
      </w:pPr>
    </w:p>
    <w:p>
      <w:pPr>
        <w:pStyle w:val="2"/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柳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eastAsia="zh-CN"/>
        </w:rPr>
        <w:t>审批发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Times New Roman" w:hAnsi="Times New Roman" w:eastAsia="宋体" w:cs="黑体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22860</wp:posOffset>
                </wp:positionV>
                <wp:extent cx="5762625" cy="635"/>
                <wp:effectExtent l="0" t="12700" r="9525" b="1524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0.5pt;margin-top:1.8pt;height:0.05pt;width:453.75pt;z-index:251658240;mso-width-relative:page;mso-height-relative:page;" filled="f" stroked="t" coordsize="21600,21600" o:gfxdata="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hKx9U1AAAAAYBAAAPAAAAAAAAAAEAIAAAADgAAABkcnMvZG93bnJldi54bWxQ&#10;SwECFAAUAAAACACHTuJAQC5F9+UBAACmAwAADgAAAAAAAAABACAAAAA5AQAAZHJzL2Uyb0RvYy54&#10;bWxQSwUGAAAAAAYABgBZAQAAkAUAAAAA&#10;">
                <v:fill on="f" focussize="0,0"/>
                <v:stroke weight="2pt" color="#FF0000" joinstyle="bevel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关于印发《关于开通人防审批业务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br w:type="textWrapping"/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绿色通道的措施方案》的通知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各有关单位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为进一步贯彻落实柳州市房地产“奋战六十天、攻坚二季度的会议精神”，优化营商环境的部署要求，现将《柳州市行政审批局关于开通人防审批业务绿色通道的措施方案》的通知》印发你们，请认真贯彻执行。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柳州市行政审批局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2020年6月1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关于开通人防审批业务绿色通道的措施方案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为进一步贯彻落实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柳州市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房地产“奋战六十天、攻坚二季度”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会议精神，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进一步优化营商环境的部署要求，推动政府职能转向减审批、强监管、优服务，配合“拿地即开工”、“带方案出让土地”等工作，现推行人防审批“绿色通道”措施，具体如下：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一、对人防设计条件审批实行“提前介入”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、“前置审批”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依据柳州市规委会通过的总体控制性规划方案（已明确容积率等指标），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向市行政审批局提前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申请初步人防设计条件通知书，方便企业提前设计，推动前期工作，待企业规划总平图正式审查通过后，企业可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根据需要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调整人防设计条件通知。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对人防审批和监管实行部门联动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人民防空主管部门、市住房和城乡建设主管部门、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审批行政部门应当分工办理、协调配合、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部门联动。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加强对建设工程的事中、事后监管，把控人防工程落实建设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。在行政审批阶段，对于没有法律法规和文件要求的业务把关，能后置的一律后置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做好风险控制。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实行部门“审管”联动，在审批中发现企业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违反《中华人民共和国人民防空法》《广西壮族自治区实施&lt;中华人民共和国人民防空法&gt;办法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等有关规定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市行政审批部门或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市住房和城乡建设主管部门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函告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县级以上人民防空主管部门或政府授权的行政执法部门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，相关部门及时予以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处罚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，部门之间相互协作，保证项目的正常推进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eastAsia="楷体_GB2312"/>
          <w:b/>
          <w:bCs/>
          <w:sz w:val="32"/>
          <w:szCs w:val="32"/>
          <w:u w:val="single"/>
        </w:rPr>
      </w:pPr>
      <w:r>
        <w:rPr>
          <w:rFonts w:ascii="Times New Roman" w:hAnsi="Times New Roman" w:eastAsia="楷体_GB2312"/>
          <w:b/>
          <w:bCs/>
          <w:sz w:val="32"/>
          <w:szCs w:val="32"/>
          <w:u w:val="single"/>
        </w:rPr>
        <w:t>政府信息公开选项：</w:t>
      </w:r>
      <w:r>
        <w:rPr>
          <w:rFonts w:hint="eastAsia" w:ascii="Times New Roman" w:hAnsi="Times New Roman" w:eastAsia="楷体_GB2312"/>
          <w:b/>
          <w:bCs/>
          <w:sz w:val="32"/>
          <w:szCs w:val="32"/>
          <w:u w:val="single"/>
          <w:lang w:eastAsia="zh-CN"/>
        </w:rPr>
        <w:t>主动</w:t>
      </w:r>
      <w:r>
        <w:rPr>
          <w:rFonts w:hint="eastAsia" w:ascii="Times New Roman" w:hAnsi="Times New Roman" w:eastAsia="楷体_GB2312"/>
          <w:b/>
          <w:bCs/>
          <w:sz w:val="32"/>
          <w:szCs w:val="32"/>
          <w:u w:val="single"/>
        </w:rPr>
        <w:t>公开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eastAsia="楷体_GB2312"/>
          <w:b/>
          <w:bCs/>
          <w:sz w:val="32"/>
          <w:szCs w:val="32"/>
          <w:u w:val="single"/>
        </w:rPr>
        <w:t xml:space="preserve">   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0"/>
          <w:szCs w:val="30"/>
          <w:u w:val="single"/>
          <w:lang w:val="en-US" w:eastAsia="zh-CN"/>
        </w:rPr>
        <w:t xml:space="preserve">柳州市行政审批局办公室                  </w:t>
      </w:r>
      <w:r>
        <w:rPr>
          <w:rFonts w:ascii="Times New Roman" w:hAnsi="Times New Roman" w:eastAsia="仿宋_GB2312"/>
          <w:spacing w:val="0"/>
          <w:sz w:val="30"/>
          <w:szCs w:val="30"/>
          <w:u w:val="single"/>
        </w:rPr>
        <w:t>20</w:t>
      </w:r>
      <w:r>
        <w:rPr>
          <w:rFonts w:hint="eastAsia" w:ascii="Times New Roman" w:hAnsi="Times New Roman" w:eastAsia="仿宋_GB2312"/>
          <w:spacing w:val="0"/>
          <w:sz w:val="30"/>
          <w:szCs w:val="30"/>
          <w:u w:val="single"/>
          <w:lang w:val="en-US" w:eastAsia="zh-CN"/>
        </w:rPr>
        <w:t>20</w:t>
      </w:r>
      <w:r>
        <w:rPr>
          <w:rFonts w:ascii="Times New Roman" w:hAnsi="Times New Roman" w:eastAsia="仿宋_GB2312"/>
          <w:spacing w:val="0"/>
          <w:sz w:val="30"/>
          <w:szCs w:val="30"/>
          <w:u w:val="single"/>
        </w:rPr>
        <w:t>年</w:t>
      </w:r>
      <w:r>
        <w:rPr>
          <w:rFonts w:hint="eastAsia" w:ascii="Times New Roman" w:hAnsi="Times New Roman"/>
          <w:spacing w:val="0"/>
          <w:sz w:val="30"/>
          <w:szCs w:val="30"/>
          <w:u w:val="single"/>
          <w:lang w:val="en-US" w:eastAsia="zh-CN"/>
        </w:rPr>
        <w:t>6</w:t>
      </w:r>
      <w:r>
        <w:rPr>
          <w:rFonts w:ascii="Times New Roman" w:hAnsi="Times New Roman" w:eastAsia="仿宋_GB2312"/>
          <w:spacing w:val="0"/>
          <w:sz w:val="30"/>
          <w:szCs w:val="30"/>
          <w:u w:val="single"/>
        </w:rPr>
        <w:t>月</w:t>
      </w:r>
      <w:r>
        <w:rPr>
          <w:rFonts w:hint="eastAsia" w:ascii="Times New Roman" w:hAnsi="Times New Roman" w:eastAsia="仿宋_GB2312"/>
          <w:spacing w:val="0"/>
          <w:sz w:val="30"/>
          <w:szCs w:val="30"/>
          <w:u w:val="single"/>
          <w:lang w:val="en-US" w:eastAsia="zh-CN"/>
        </w:rPr>
        <w:t>19</w:t>
      </w:r>
      <w:r>
        <w:rPr>
          <w:rFonts w:ascii="Times New Roman" w:hAnsi="Times New Roman" w:eastAsia="仿宋_GB2312"/>
          <w:spacing w:val="0"/>
          <w:sz w:val="30"/>
          <w:szCs w:val="30"/>
          <w:u w:val="single"/>
        </w:rPr>
        <w:t>日印</w:t>
      </w:r>
      <w:r>
        <w:rPr>
          <w:rFonts w:hint="eastAsia" w:ascii="Times New Roman" w:hAnsi="Times New Roman" w:eastAsia="仿宋_GB2312"/>
          <w:spacing w:val="0"/>
          <w:sz w:val="30"/>
          <w:szCs w:val="30"/>
          <w:u w:val="single"/>
          <w:lang w:eastAsia="zh-CN"/>
        </w:rPr>
        <w:t>发</w:t>
      </w:r>
    </w:p>
    <w:sectPr>
      <w:pgSz w:w="11906" w:h="16838"/>
      <w:pgMar w:top="2098" w:right="141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53"/>
    <w:rsid w:val="002F0753"/>
    <w:rsid w:val="00AC097D"/>
    <w:rsid w:val="00AD35AD"/>
    <w:rsid w:val="32905BFB"/>
    <w:rsid w:val="34C3429A"/>
    <w:rsid w:val="FCD3A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159</Characters>
  <Lines>1</Lines>
  <Paragraphs>1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2020-06-16T14:10:00Z</dcterms:created>
  <dc:creator>NTKO</dc:creator>
  <cp:lastModifiedBy>wanny liu</cp:lastModifiedBy>
  <dcterms:modified xsi:type="dcterms:W3CDTF">2023-06-07T14:36:44Z</dcterms:modified>
  <dc:title>柳州市行政审批局文件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